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35036" w14:textId="77777777" w:rsidR="00AA6F4D" w:rsidRPr="00BB212B" w:rsidRDefault="00714CF7" w:rsidP="00944E61">
      <w:pPr>
        <w:pStyle w:val="LGAItemNoHeading"/>
        <w:spacing w:before="360"/>
        <w:rPr>
          <w:rFonts w:ascii="Arial" w:hAnsi="Arial" w:cs="Arial"/>
          <w:sz w:val="28"/>
          <w:szCs w:val="28"/>
        </w:rPr>
      </w:pPr>
      <w:r>
        <w:rPr>
          <w:rFonts w:ascii="Arial" w:hAnsi="Arial" w:cs="Arial"/>
          <w:szCs w:val="32"/>
        </w:rPr>
        <w:t>LGA Membership Subscriptions</w:t>
      </w:r>
      <w:r w:rsidR="00171FAD">
        <w:rPr>
          <w:rFonts w:ascii="Arial" w:hAnsi="Arial" w:cs="Arial"/>
          <w:szCs w:val="32"/>
        </w:rPr>
        <w:t xml:space="preserve"> 2019</w:t>
      </w:r>
      <w:r w:rsidR="00D242BE">
        <w:rPr>
          <w:rFonts w:ascii="Arial" w:hAnsi="Arial" w:cs="Arial"/>
          <w:szCs w:val="32"/>
        </w:rPr>
        <w:t>-</w:t>
      </w:r>
      <w:r w:rsidR="00171FAD">
        <w:rPr>
          <w:rFonts w:ascii="Arial" w:hAnsi="Arial" w:cs="Arial"/>
          <w:szCs w:val="32"/>
        </w:rPr>
        <w:t>20</w:t>
      </w:r>
    </w:p>
    <w:p w14:paraId="09B35037" w14:textId="77777777" w:rsidR="00BB212B" w:rsidRDefault="00BB212B" w:rsidP="000C3360">
      <w:pPr>
        <w:pStyle w:val="MainText"/>
        <w:rPr>
          <w:rFonts w:ascii="Arial" w:hAnsi="Arial" w:cs="Arial"/>
          <w:b/>
          <w:sz w:val="24"/>
          <w:szCs w:val="24"/>
        </w:rPr>
      </w:pPr>
    </w:p>
    <w:p w14:paraId="09B35038" w14:textId="77777777" w:rsidR="001172B6" w:rsidRPr="008E60AB" w:rsidRDefault="0022688F" w:rsidP="000C3360">
      <w:pPr>
        <w:pStyle w:val="MainText"/>
        <w:rPr>
          <w:rFonts w:ascii="Arial" w:hAnsi="Arial" w:cs="Arial"/>
          <w:b/>
          <w:szCs w:val="22"/>
        </w:rPr>
      </w:pPr>
      <w:r w:rsidRPr="008E60AB">
        <w:rPr>
          <w:rFonts w:ascii="Arial" w:hAnsi="Arial" w:cs="Arial"/>
          <w:b/>
          <w:szCs w:val="22"/>
        </w:rPr>
        <w:t>Purpose of Report</w:t>
      </w:r>
    </w:p>
    <w:p w14:paraId="09B35039" w14:textId="77777777" w:rsidR="0022688F" w:rsidRPr="008E60AB" w:rsidRDefault="0022688F" w:rsidP="000C3360">
      <w:pPr>
        <w:pStyle w:val="MainText"/>
        <w:rPr>
          <w:rFonts w:ascii="Arial" w:hAnsi="Arial" w:cs="Arial"/>
          <w:b/>
          <w:szCs w:val="22"/>
        </w:rPr>
      </w:pPr>
    </w:p>
    <w:p w14:paraId="09B3503A" w14:textId="77777777" w:rsidR="001172B6" w:rsidRPr="008E60AB" w:rsidRDefault="0022688F" w:rsidP="000C3360">
      <w:pPr>
        <w:pStyle w:val="MainText"/>
        <w:rPr>
          <w:rFonts w:ascii="Arial" w:hAnsi="Arial" w:cs="Arial"/>
          <w:szCs w:val="22"/>
        </w:rPr>
      </w:pPr>
      <w:r w:rsidRPr="008E60AB">
        <w:rPr>
          <w:rFonts w:ascii="Arial" w:hAnsi="Arial" w:cs="Arial"/>
          <w:szCs w:val="22"/>
        </w:rPr>
        <w:t>For decision</w:t>
      </w:r>
      <w:r w:rsidR="009C44E5">
        <w:rPr>
          <w:rFonts w:ascii="Arial" w:hAnsi="Arial" w:cs="Arial"/>
          <w:szCs w:val="22"/>
        </w:rPr>
        <w:t>.</w:t>
      </w:r>
    </w:p>
    <w:p w14:paraId="09B3503B" w14:textId="77777777" w:rsidR="00A601EC" w:rsidRPr="008E60AB" w:rsidRDefault="00A601EC" w:rsidP="000C3360">
      <w:pPr>
        <w:pStyle w:val="MainText"/>
        <w:rPr>
          <w:rFonts w:ascii="Arial" w:hAnsi="Arial" w:cs="Arial"/>
          <w:b/>
          <w:szCs w:val="22"/>
        </w:rPr>
      </w:pPr>
    </w:p>
    <w:p w14:paraId="09B3503C" w14:textId="77777777" w:rsidR="000C3360" w:rsidRPr="008E60AB" w:rsidRDefault="000C3360" w:rsidP="000C3360">
      <w:pPr>
        <w:pStyle w:val="MainText"/>
        <w:rPr>
          <w:rFonts w:ascii="Arial" w:hAnsi="Arial" w:cs="Arial"/>
          <w:szCs w:val="22"/>
        </w:rPr>
      </w:pPr>
      <w:r w:rsidRPr="008E60AB">
        <w:rPr>
          <w:rFonts w:ascii="Arial" w:hAnsi="Arial" w:cs="Arial"/>
          <w:b/>
          <w:szCs w:val="22"/>
        </w:rPr>
        <w:t>Summary</w:t>
      </w:r>
    </w:p>
    <w:p w14:paraId="09B3503D" w14:textId="77777777" w:rsidR="000C3360" w:rsidRPr="008E60AB" w:rsidRDefault="000C3360" w:rsidP="00A601EC">
      <w:pPr>
        <w:pStyle w:val="MainText"/>
        <w:rPr>
          <w:rFonts w:ascii="Arial" w:hAnsi="Arial" w:cs="Arial"/>
          <w:szCs w:val="22"/>
        </w:rPr>
      </w:pPr>
    </w:p>
    <w:p w14:paraId="09B3503E" w14:textId="77777777" w:rsidR="008313C6" w:rsidRDefault="008313C6" w:rsidP="008313C6">
      <w:pPr>
        <w:rPr>
          <w:rFonts w:ascii="Arial" w:hAnsi="Arial" w:cs="Arial"/>
          <w:szCs w:val="22"/>
        </w:rPr>
      </w:pPr>
      <w:r w:rsidRPr="008E60AB">
        <w:rPr>
          <w:rFonts w:ascii="Arial" w:hAnsi="Arial" w:cs="Arial"/>
          <w:szCs w:val="22"/>
        </w:rPr>
        <w:t xml:space="preserve">This paper </w:t>
      </w:r>
      <w:r w:rsidR="00843231">
        <w:rPr>
          <w:rFonts w:ascii="Arial" w:hAnsi="Arial" w:cs="Arial"/>
          <w:szCs w:val="22"/>
        </w:rPr>
        <w:t>sets out the current position in relation to LGA subscriptions</w:t>
      </w:r>
      <w:r w:rsidR="00171FAD">
        <w:rPr>
          <w:rFonts w:ascii="Arial" w:hAnsi="Arial" w:cs="Arial"/>
          <w:szCs w:val="22"/>
        </w:rPr>
        <w:t>, including changes as a result of the forthcoming reorganisation in Dorset, Somerset and Suffolk</w:t>
      </w:r>
      <w:r w:rsidR="003B7307">
        <w:rPr>
          <w:rFonts w:ascii="Arial" w:hAnsi="Arial" w:cs="Arial"/>
          <w:szCs w:val="22"/>
        </w:rPr>
        <w:t>. It proposes three possible approaches t</w:t>
      </w:r>
      <w:r w:rsidR="00AB5801">
        <w:rPr>
          <w:rFonts w:ascii="Arial" w:hAnsi="Arial" w:cs="Arial"/>
          <w:szCs w:val="22"/>
        </w:rPr>
        <w:t>o setting subscriptions for 201</w:t>
      </w:r>
      <w:r w:rsidR="00171FAD">
        <w:rPr>
          <w:rFonts w:ascii="Arial" w:hAnsi="Arial" w:cs="Arial"/>
          <w:szCs w:val="22"/>
        </w:rPr>
        <w:t>9/20</w:t>
      </w:r>
      <w:r w:rsidR="00843231">
        <w:rPr>
          <w:rFonts w:ascii="Arial" w:hAnsi="Arial" w:cs="Arial"/>
          <w:szCs w:val="22"/>
        </w:rPr>
        <w:t xml:space="preserve"> and seeks the Leadership’s Board </w:t>
      </w:r>
      <w:r w:rsidR="003B7307">
        <w:rPr>
          <w:rFonts w:ascii="Arial" w:hAnsi="Arial" w:cs="Arial"/>
          <w:szCs w:val="22"/>
        </w:rPr>
        <w:t>decision on their preferred approach</w:t>
      </w:r>
      <w:r w:rsidR="00843231">
        <w:rPr>
          <w:rFonts w:ascii="Arial" w:hAnsi="Arial" w:cs="Arial"/>
          <w:szCs w:val="22"/>
        </w:rPr>
        <w:t>.</w:t>
      </w:r>
      <w:r w:rsidR="00714CF7" w:rsidRPr="008E60AB">
        <w:rPr>
          <w:rFonts w:ascii="Arial" w:hAnsi="Arial" w:cs="Arial"/>
          <w:szCs w:val="22"/>
        </w:rPr>
        <w:t xml:space="preserve"> </w:t>
      </w:r>
    </w:p>
    <w:p w14:paraId="09B3503F" w14:textId="77777777" w:rsidR="00CB082E" w:rsidRPr="008E60AB" w:rsidRDefault="00CB082E" w:rsidP="008313C6">
      <w:pPr>
        <w:rPr>
          <w:rFonts w:ascii="Arial" w:hAnsi="Arial" w:cs="Arial"/>
          <w:szCs w:val="22"/>
        </w:rPr>
      </w:pPr>
    </w:p>
    <w:p w14:paraId="09B35040" w14:textId="77777777" w:rsidR="00AA6F4D" w:rsidRPr="008E60AB" w:rsidRDefault="00AA6F4D" w:rsidP="000C3360">
      <w:pPr>
        <w:pStyle w:val="MainText"/>
        <w:ind w:left="567"/>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8E60AB" w14:paraId="09B3504A" w14:textId="77777777">
        <w:tc>
          <w:tcPr>
            <w:tcW w:w="9157" w:type="dxa"/>
          </w:tcPr>
          <w:p w14:paraId="09B35041" w14:textId="77777777" w:rsidR="000C3360" w:rsidRPr="008E60AB" w:rsidRDefault="000C3360">
            <w:pPr>
              <w:pStyle w:val="MainText"/>
              <w:rPr>
                <w:rFonts w:ascii="Arial" w:hAnsi="Arial" w:cs="Arial"/>
                <w:b/>
                <w:szCs w:val="22"/>
              </w:rPr>
            </w:pPr>
          </w:p>
          <w:p w14:paraId="09B35042" w14:textId="77777777" w:rsidR="000C3360" w:rsidRPr="008E60AB" w:rsidRDefault="000C3360">
            <w:pPr>
              <w:pStyle w:val="MainText"/>
              <w:rPr>
                <w:rFonts w:ascii="Arial" w:hAnsi="Arial" w:cs="Arial"/>
                <w:b/>
                <w:szCs w:val="22"/>
              </w:rPr>
            </w:pPr>
            <w:r w:rsidRPr="008E60AB">
              <w:rPr>
                <w:rFonts w:ascii="Arial" w:hAnsi="Arial" w:cs="Arial"/>
                <w:b/>
                <w:szCs w:val="22"/>
              </w:rPr>
              <w:t>Recommendation</w:t>
            </w:r>
            <w:r w:rsidR="00F912A5">
              <w:rPr>
                <w:rFonts w:ascii="Arial" w:hAnsi="Arial" w:cs="Arial"/>
                <w:b/>
                <w:szCs w:val="22"/>
              </w:rPr>
              <w:t>s</w:t>
            </w:r>
          </w:p>
          <w:p w14:paraId="09B35043" w14:textId="77777777" w:rsidR="008313C6" w:rsidRPr="008E60AB" w:rsidRDefault="008313C6" w:rsidP="008313C6">
            <w:pPr>
              <w:pStyle w:val="MainText"/>
              <w:rPr>
                <w:rFonts w:ascii="Arial" w:hAnsi="Arial" w:cs="Arial"/>
                <w:szCs w:val="22"/>
              </w:rPr>
            </w:pPr>
          </w:p>
          <w:p w14:paraId="09B35044" w14:textId="77777777" w:rsidR="00446AAE" w:rsidRDefault="00446AAE" w:rsidP="00D70565">
            <w:pPr>
              <w:pStyle w:val="MainText"/>
              <w:rPr>
                <w:rFonts w:ascii="Arial" w:hAnsi="Arial" w:cs="Arial"/>
                <w:szCs w:val="22"/>
              </w:rPr>
            </w:pPr>
            <w:bookmarkStart w:id="0" w:name="_GoBack"/>
            <w:r>
              <w:rPr>
                <w:rFonts w:ascii="Arial" w:hAnsi="Arial" w:cs="Arial"/>
                <w:szCs w:val="22"/>
              </w:rPr>
              <w:t>That</w:t>
            </w:r>
            <w:r w:rsidR="00F912A5">
              <w:rPr>
                <w:rFonts w:ascii="Arial" w:hAnsi="Arial" w:cs="Arial"/>
                <w:szCs w:val="22"/>
              </w:rPr>
              <w:t xml:space="preserve"> the LGA</w:t>
            </w:r>
            <w:r>
              <w:rPr>
                <w:rFonts w:ascii="Arial" w:hAnsi="Arial" w:cs="Arial"/>
                <w:szCs w:val="22"/>
              </w:rPr>
              <w:t xml:space="preserve"> Leadership Board</w:t>
            </w:r>
            <w:r w:rsidR="00D70565">
              <w:rPr>
                <w:rFonts w:ascii="Arial" w:hAnsi="Arial" w:cs="Arial"/>
                <w:szCs w:val="22"/>
              </w:rPr>
              <w:t xml:space="preserve"> </w:t>
            </w:r>
            <w:r w:rsidR="00B318F4">
              <w:rPr>
                <w:rFonts w:ascii="Arial" w:hAnsi="Arial" w:cs="Arial"/>
                <w:szCs w:val="22"/>
              </w:rPr>
              <w:t>a</w:t>
            </w:r>
            <w:r w:rsidR="00843231">
              <w:rPr>
                <w:rFonts w:ascii="Arial" w:hAnsi="Arial" w:cs="Arial"/>
                <w:szCs w:val="22"/>
              </w:rPr>
              <w:t>gree</w:t>
            </w:r>
            <w:r>
              <w:rPr>
                <w:rFonts w:ascii="Arial" w:hAnsi="Arial" w:cs="Arial"/>
                <w:szCs w:val="22"/>
              </w:rPr>
              <w:t>s</w:t>
            </w:r>
            <w:r w:rsidR="00843231">
              <w:rPr>
                <w:rFonts w:ascii="Arial" w:hAnsi="Arial" w:cs="Arial"/>
                <w:szCs w:val="22"/>
              </w:rPr>
              <w:t xml:space="preserve"> </w:t>
            </w:r>
            <w:r w:rsidR="00215200">
              <w:rPr>
                <w:rFonts w:ascii="Arial" w:hAnsi="Arial" w:cs="Arial"/>
                <w:szCs w:val="22"/>
              </w:rPr>
              <w:t>the basis of calculating</w:t>
            </w:r>
            <w:r w:rsidR="00171FAD">
              <w:rPr>
                <w:rFonts w:ascii="Arial" w:hAnsi="Arial" w:cs="Arial"/>
                <w:szCs w:val="22"/>
              </w:rPr>
              <w:t xml:space="preserve"> subscriptions for 2019/20</w:t>
            </w:r>
            <w:r w:rsidR="0058127C">
              <w:rPr>
                <w:rFonts w:ascii="Arial" w:hAnsi="Arial" w:cs="Arial"/>
                <w:szCs w:val="22"/>
              </w:rPr>
              <w:t xml:space="preserve">, based on the options in </w:t>
            </w:r>
            <w:r w:rsidR="003E30D4">
              <w:rPr>
                <w:rFonts w:ascii="Arial" w:hAnsi="Arial" w:cs="Arial"/>
                <w:szCs w:val="22"/>
              </w:rPr>
              <w:t>paragraph 13</w:t>
            </w:r>
            <w:r w:rsidR="00D70565">
              <w:rPr>
                <w:rFonts w:ascii="Arial" w:hAnsi="Arial" w:cs="Arial"/>
                <w:szCs w:val="22"/>
              </w:rPr>
              <w:t>.</w:t>
            </w:r>
          </w:p>
          <w:bookmarkEnd w:id="0"/>
          <w:p w14:paraId="09B35045" w14:textId="77777777" w:rsidR="00446AAE" w:rsidRDefault="00446AAE" w:rsidP="00843231">
            <w:pPr>
              <w:pStyle w:val="MainText"/>
              <w:rPr>
                <w:rFonts w:ascii="Arial" w:hAnsi="Arial" w:cs="Arial"/>
                <w:szCs w:val="22"/>
              </w:rPr>
            </w:pPr>
          </w:p>
          <w:p w14:paraId="09B35046" w14:textId="77777777" w:rsidR="000C3360" w:rsidRPr="008E60AB" w:rsidRDefault="000C3360">
            <w:pPr>
              <w:pStyle w:val="MainText"/>
              <w:rPr>
                <w:rFonts w:ascii="Arial" w:hAnsi="Arial" w:cs="Arial"/>
                <w:b/>
                <w:szCs w:val="22"/>
              </w:rPr>
            </w:pPr>
            <w:r w:rsidRPr="008E60AB">
              <w:rPr>
                <w:rFonts w:ascii="Arial" w:hAnsi="Arial" w:cs="Arial"/>
                <w:b/>
                <w:szCs w:val="22"/>
              </w:rPr>
              <w:t>Action</w:t>
            </w:r>
          </w:p>
          <w:p w14:paraId="09B35047" w14:textId="77777777" w:rsidR="00A601EC" w:rsidRPr="008E60AB" w:rsidRDefault="00A601EC">
            <w:pPr>
              <w:pStyle w:val="MainText"/>
              <w:rPr>
                <w:rFonts w:ascii="Arial" w:hAnsi="Arial" w:cs="Arial"/>
                <w:b/>
                <w:szCs w:val="22"/>
              </w:rPr>
            </w:pPr>
          </w:p>
          <w:p w14:paraId="09B35048" w14:textId="77777777" w:rsidR="00A01FD0" w:rsidRPr="00AC3C7E" w:rsidRDefault="00A01FD0" w:rsidP="00A01FD0">
            <w:pPr>
              <w:pStyle w:val="MainText"/>
              <w:spacing w:line="240" w:lineRule="auto"/>
              <w:rPr>
                <w:rFonts w:ascii="Arial" w:hAnsi="Arial" w:cs="Arial"/>
                <w:szCs w:val="22"/>
              </w:rPr>
            </w:pPr>
            <w:r>
              <w:rPr>
                <w:rFonts w:ascii="Arial" w:hAnsi="Arial" w:cs="Arial"/>
                <w:szCs w:val="22"/>
              </w:rPr>
              <w:t>Subject to Leadership Board decision, officers will n</w:t>
            </w:r>
            <w:r w:rsidR="00171FAD">
              <w:rPr>
                <w:rFonts w:ascii="Arial" w:hAnsi="Arial" w:cs="Arial"/>
                <w:szCs w:val="22"/>
              </w:rPr>
              <w:t>otify all councils of their 2019/20</w:t>
            </w:r>
            <w:r>
              <w:rPr>
                <w:rFonts w:ascii="Arial" w:hAnsi="Arial" w:cs="Arial"/>
                <w:szCs w:val="22"/>
              </w:rPr>
              <w:t xml:space="preserve"> subscription and begin work on membership packs.</w:t>
            </w:r>
          </w:p>
          <w:p w14:paraId="09B35049" w14:textId="77777777" w:rsidR="000A3935" w:rsidRPr="008E60AB" w:rsidRDefault="000A3935">
            <w:pPr>
              <w:pStyle w:val="MainText"/>
              <w:rPr>
                <w:rFonts w:ascii="Arial" w:hAnsi="Arial" w:cs="Arial"/>
                <w:b/>
                <w:szCs w:val="22"/>
              </w:rPr>
            </w:pPr>
          </w:p>
        </w:tc>
      </w:tr>
    </w:tbl>
    <w:p w14:paraId="09B3504B" w14:textId="77777777" w:rsidR="00AA6F4D" w:rsidRDefault="00AA6F4D">
      <w:pPr>
        <w:pStyle w:val="MainText"/>
        <w:rPr>
          <w:rFonts w:ascii="Arial" w:hAnsi="Arial" w:cs="Arial"/>
          <w:szCs w:val="22"/>
        </w:rPr>
      </w:pPr>
    </w:p>
    <w:p w14:paraId="09B3504C" w14:textId="77777777" w:rsidR="00AB5801" w:rsidRDefault="00AB5801">
      <w:pPr>
        <w:pStyle w:val="MainText"/>
        <w:rPr>
          <w:rFonts w:ascii="Arial" w:hAnsi="Arial" w:cs="Arial"/>
          <w:szCs w:val="22"/>
        </w:rPr>
      </w:pPr>
    </w:p>
    <w:p w14:paraId="09B3504D" w14:textId="77777777" w:rsidR="00AB5801" w:rsidRPr="008E60AB" w:rsidRDefault="00AB5801">
      <w:pPr>
        <w:pStyle w:val="MainText"/>
        <w:rPr>
          <w:rFonts w:ascii="Arial" w:hAnsi="Arial" w:cs="Arial"/>
          <w:szCs w:val="22"/>
        </w:rPr>
      </w:pPr>
    </w:p>
    <w:tbl>
      <w:tblPr>
        <w:tblW w:w="9322" w:type="dxa"/>
        <w:tblLook w:val="01E0" w:firstRow="1" w:lastRow="1" w:firstColumn="1" w:lastColumn="1" w:noHBand="0" w:noVBand="0"/>
      </w:tblPr>
      <w:tblGrid>
        <w:gridCol w:w="2802"/>
        <w:gridCol w:w="6520"/>
      </w:tblGrid>
      <w:tr w:rsidR="00CC0245" w:rsidRPr="008E60AB" w14:paraId="09B35050" w14:textId="77777777" w:rsidTr="00293180">
        <w:tc>
          <w:tcPr>
            <w:tcW w:w="2802" w:type="dxa"/>
          </w:tcPr>
          <w:p w14:paraId="09B3504E" w14:textId="77777777" w:rsidR="00CC0245" w:rsidRPr="008E60AB" w:rsidRDefault="00CC0245" w:rsidP="0079133C">
            <w:pPr>
              <w:pStyle w:val="MainText"/>
              <w:spacing w:after="120" w:line="240" w:lineRule="auto"/>
              <w:rPr>
                <w:rFonts w:ascii="Arial" w:hAnsi="Arial" w:cs="Arial"/>
                <w:szCs w:val="22"/>
              </w:rPr>
            </w:pPr>
            <w:r w:rsidRPr="008E60AB">
              <w:rPr>
                <w:rFonts w:ascii="Arial" w:hAnsi="Arial" w:cs="Arial"/>
                <w:b/>
                <w:szCs w:val="22"/>
              </w:rPr>
              <w:t>Contact officer:</w:t>
            </w:r>
            <w:r w:rsidRPr="008E60AB">
              <w:rPr>
                <w:rFonts w:ascii="Arial" w:hAnsi="Arial" w:cs="Arial"/>
                <w:szCs w:val="22"/>
              </w:rPr>
              <w:t xml:space="preserve">  </w:t>
            </w:r>
          </w:p>
        </w:tc>
        <w:tc>
          <w:tcPr>
            <w:tcW w:w="6520" w:type="dxa"/>
          </w:tcPr>
          <w:p w14:paraId="09B3504F" w14:textId="77777777" w:rsidR="00CB082E" w:rsidRPr="008E60AB" w:rsidRDefault="00CB082E" w:rsidP="0079133C">
            <w:pPr>
              <w:pStyle w:val="MainText"/>
              <w:spacing w:after="120" w:line="240" w:lineRule="auto"/>
              <w:rPr>
                <w:rFonts w:ascii="Arial" w:hAnsi="Arial" w:cs="Arial"/>
                <w:szCs w:val="22"/>
              </w:rPr>
            </w:pPr>
            <w:r>
              <w:rPr>
                <w:rFonts w:ascii="Arial" w:hAnsi="Arial" w:cs="Arial"/>
                <w:szCs w:val="22"/>
              </w:rPr>
              <w:t>Claire Holloway</w:t>
            </w:r>
          </w:p>
        </w:tc>
      </w:tr>
      <w:tr w:rsidR="00C9258A" w:rsidRPr="008E60AB" w14:paraId="09B35053" w14:textId="77777777" w:rsidTr="00293180">
        <w:tc>
          <w:tcPr>
            <w:tcW w:w="2802" w:type="dxa"/>
          </w:tcPr>
          <w:p w14:paraId="09B35051" w14:textId="77777777" w:rsidR="00C9258A" w:rsidRPr="008E60AB" w:rsidRDefault="00C9258A" w:rsidP="0079133C">
            <w:pPr>
              <w:pStyle w:val="MainText"/>
              <w:spacing w:after="120" w:line="240" w:lineRule="auto"/>
              <w:rPr>
                <w:rFonts w:ascii="Arial" w:hAnsi="Arial" w:cs="Arial"/>
                <w:b/>
                <w:szCs w:val="22"/>
              </w:rPr>
            </w:pPr>
            <w:r w:rsidRPr="008E60AB">
              <w:rPr>
                <w:rFonts w:ascii="Arial" w:hAnsi="Arial" w:cs="Arial"/>
                <w:b/>
                <w:szCs w:val="22"/>
              </w:rPr>
              <w:t>Position:</w:t>
            </w:r>
          </w:p>
        </w:tc>
        <w:tc>
          <w:tcPr>
            <w:tcW w:w="6520" w:type="dxa"/>
          </w:tcPr>
          <w:p w14:paraId="09B35052" w14:textId="77777777" w:rsidR="00C9258A" w:rsidRPr="008E60AB" w:rsidRDefault="00DC34CA" w:rsidP="00AB5801">
            <w:pPr>
              <w:pStyle w:val="MainText"/>
              <w:spacing w:after="120" w:line="240" w:lineRule="auto"/>
              <w:rPr>
                <w:rFonts w:ascii="Arial" w:hAnsi="Arial" w:cs="Arial"/>
                <w:szCs w:val="22"/>
              </w:rPr>
            </w:pPr>
            <w:r w:rsidRPr="008E60AB">
              <w:rPr>
                <w:rFonts w:ascii="Arial" w:hAnsi="Arial" w:cs="Arial"/>
                <w:szCs w:val="22"/>
              </w:rPr>
              <w:t xml:space="preserve">Head of </w:t>
            </w:r>
            <w:r w:rsidR="00CB082E">
              <w:rPr>
                <w:rFonts w:ascii="Arial" w:hAnsi="Arial" w:cs="Arial"/>
                <w:szCs w:val="22"/>
              </w:rPr>
              <w:t xml:space="preserve">Corporate </w:t>
            </w:r>
            <w:r w:rsidR="00AB5801">
              <w:rPr>
                <w:rFonts w:ascii="Arial" w:hAnsi="Arial" w:cs="Arial"/>
                <w:szCs w:val="22"/>
              </w:rPr>
              <w:t>Services</w:t>
            </w:r>
          </w:p>
        </w:tc>
      </w:tr>
      <w:tr w:rsidR="00CC0245" w:rsidRPr="008E60AB" w14:paraId="09B35056" w14:textId="77777777" w:rsidTr="00293180">
        <w:tc>
          <w:tcPr>
            <w:tcW w:w="2802" w:type="dxa"/>
          </w:tcPr>
          <w:p w14:paraId="09B35054" w14:textId="77777777" w:rsidR="00CC0245" w:rsidRPr="008E60AB" w:rsidRDefault="00CC0245" w:rsidP="0079133C">
            <w:pPr>
              <w:pStyle w:val="MainText"/>
              <w:spacing w:after="120" w:line="240" w:lineRule="auto"/>
              <w:rPr>
                <w:rFonts w:ascii="Arial" w:hAnsi="Arial" w:cs="Arial"/>
                <w:b/>
                <w:szCs w:val="22"/>
              </w:rPr>
            </w:pPr>
            <w:r w:rsidRPr="008E60AB">
              <w:rPr>
                <w:rFonts w:ascii="Arial" w:hAnsi="Arial" w:cs="Arial"/>
                <w:b/>
                <w:szCs w:val="22"/>
              </w:rPr>
              <w:t>Phone no:</w:t>
            </w:r>
          </w:p>
        </w:tc>
        <w:tc>
          <w:tcPr>
            <w:tcW w:w="6520" w:type="dxa"/>
          </w:tcPr>
          <w:p w14:paraId="09B35055" w14:textId="77777777" w:rsidR="00CC0245" w:rsidRPr="008E60AB" w:rsidRDefault="00D40A0E" w:rsidP="00CB082E">
            <w:pPr>
              <w:pStyle w:val="MainText"/>
              <w:spacing w:after="120" w:line="240" w:lineRule="auto"/>
              <w:rPr>
                <w:rFonts w:ascii="Arial" w:hAnsi="Arial" w:cs="Arial"/>
                <w:szCs w:val="22"/>
              </w:rPr>
            </w:pPr>
            <w:r w:rsidRPr="008E60AB">
              <w:rPr>
                <w:rFonts w:ascii="Arial" w:hAnsi="Arial" w:cs="Arial"/>
                <w:szCs w:val="22"/>
              </w:rPr>
              <w:t xml:space="preserve">020 7664 </w:t>
            </w:r>
            <w:r w:rsidR="00DC34CA" w:rsidRPr="008E60AB">
              <w:rPr>
                <w:rFonts w:ascii="Arial" w:hAnsi="Arial" w:cs="Arial"/>
                <w:szCs w:val="22"/>
              </w:rPr>
              <w:t>3</w:t>
            </w:r>
            <w:r w:rsidR="00CB082E">
              <w:rPr>
                <w:rFonts w:ascii="Arial" w:hAnsi="Arial" w:cs="Arial"/>
                <w:szCs w:val="22"/>
              </w:rPr>
              <w:t>156</w:t>
            </w:r>
          </w:p>
        </w:tc>
      </w:tr>
      <w:tr w:rsidR="00CC0245" w:rsidRPr="008E60AB" w14:paraId="09B35059" w14:textId="77777777" w:rsidTr="00293180">
        <w:tc>
          <w:tcPr>
            <w:tcW w:w="2802" w:type="dxa"/>
          </w:tcPr>
          <w:p w14:paraId="09B35057" w14:textId="77777777" w:rsidR="00CC0245" w:rsidRPr="008E60AB" w:rsidRDefault="00CC0245" w:rsidP="0079133C">
            <w:pPr>
              <w:pStyle w:val="MainText"/>
              <w:spacing w:after="120" w:line="240" w:lineRule="auto"/>
              <w:rPr>
                <w:rFonts w:ascii="Arial" w:hAnsi="Arial" w:cs="Arial"/>
                <w:b/>
                <w:szCs w:val="22"/>
              </w:rPr>
            </w:pPr>
            <w:r w:rsidRPr="008E60AB">
              <w:rPr>
                <w:rFonts w:ascii="Arial" w:hAnsi="Arial" w:cs="Arial"/>
                <w:b/>
                <w:szCs w:val="22"/>
              </w:rPr>
              <w:t>E-mail:</w:t>
            </w:r>
          </w:p>
        </w:tc>
        <w:tc>
          <w:tcPr>
            <w:tcW w:w="6520" w:type="dxa"/>
          </w:tcPr>
          <w:p w14:paraId="09B35058" w14:textId="77777777" w:rsidR="007B0A1A" w:rsidRPr="008E60AB" w:rsidRDefault="00AB5801" w:rsidP="0079133C">
            <w:pPr>
              <w:pStyle w:val="MainText"/>
              <w:spacing w:after="120" w:line="240" w:lineRule="auto"/>
              <w:rPr>
                <w:rFonts w:ascii="Arial" w:hAnsi="Arial" w:cs="Arial"/>
                <w:color w:val="4F81BD"/>
                <w:szCs w:val="22"/>
                <w:u w:val="single"/>
              </w:rPr>
            </w:pPr>
            <w:r>
              <w:rPr>
                <w:rFonts w:ascii="Arial" w:hAnsi="Arial" w:cs="Arial"/>
                <w:color w:val="4F81BD"/>
                <w:szCs w:val="22"/>
                <w:u w:val="single"/>
              </w:rPr>
              <w:t>c</w:t>
            </w:r>
            <w:r w:rsidR="00CB082E">
              <w:rPr>
                <w:rFonts w:ascii="Arial" w:hAnsi="Arial" w:cs="Arial"/>
                <w:color w:val="4F81BD"/>
                <w:szCs w:val="22"/>
                <w:u w:val="single"/>
              </w:rPr>
              <w:t>laire.holloway</w:t>
            </w:r>
            <w:hyperlink r:id="rId11" w:history="1">
              <w:r w:rsidR="00382380" w:rsidRPr="008E60AB">
                <w:rPr>
                  <w:rStyle w:val="Hyperlink"/>
                  <w:rFonts w:ascii="Arial" w:hAnsi="Arial" w:cs="Arial"/>
                  <w:color w:val="4F81BD"/>
                  <w:szCs w:val="22"/>
                </w:rPr>
                <w:t>@local.gov.uk</w:t>
              </w:r>
            </w:hyperlink>
            <w:r w:rsidR="00A6156F" w:rsidRPr="008E60AB">
              <w:rPr>
                <w:rFonts w:ascii="Arial" w:hAnsi="Arial" w:cs="Arial"/>
                <w:color w:val="4F81BD"/>
                <w:szCs w:val="22"/>
                <w:u w:val="single"/>
              </w:rPr>
              <w:t xml:space="preserve"> </w:t>
            </w:r>
          </w:p>
        </w:tc>
      </w:tr>
    </w:tbl>
    <w:p w14:paraId="09B3505A" w14:textId="77777777" w:rsidR="00AA6F4D" w:rsidRPr="008E60AB" w:rsidRDefault="00AA6F4D">
      <w:pPr>
        <w:pStyle w:val="LGASubHead1"/>
        <w:rPr>
          <w:rFonts w:ascii="Arial" w:hAnsi="Arial" w:cs="Arial"/>
          <w:sz w:val="22"/>
          <w:szCs w:val="22"/>
        </w:rPr>
        <w:sectPr w:rsidR="00AA6F4D" w:rsidRPr="008E60AB" w:rsidSect="007C2BC2">
          <w:headerReference w:type="default" r:id="rId12"/>
          <w:footerReference w:type="default" r:id="rId13"/>
          <w:headerReference w:type="first" r:id="rId14"/>
          <w:pgSz w:w="11907" w:h="16840" w:code="9"/>
          <w:pgMar w:top="1418" w:right="1418" w:bottom="1418" w:left="1418" w:header="1134" w:footer="567" w:gutter="0"/>
          <w:cols w:space="720"/>
          <w:titlePg/>
        </w:sectPr>
      </w:pPr>
    </w:p>
    <w:p w14:paraId="09B3505B" w14:textId="77777777" w:rsidR="00E65EA5" w:rsidRPr="00715BC6" w:rsidRDefault="00E65EA5" w:rsidP="00E65EA5">
      <w:pPr>
        <w:pStyle w:val="LGAItemNoHeading"/>
        <w:spacing w:before="360"/>
        <w:rPr>
          <w:rFonts w:ascii="Arial" w:hAnsi="Arial" w:cs="Arial"/>
          <w:sz w:val="28"/>
          <w:szCs w:val="28"/>
        </w:rPr>
      </w:pPr>
      <w:bookmarkStart w:id="3" w:name="MainHeading2"/>
      <w:bookmarkEnd w:id="3"/>
      <w:r w:rsidRPr="00715BC6">
        <w:rPr>
          <w:rFonts w:ascii="Arial" w:hAnsi="Arial" w:cs="Arial"/>
          <w:sz w:val="28"/>
          <w:szCs w:val="28"/>
        </w:rPr>
        <w:lastRenderedPageBreak/>
        <w:t>LGA Membership Subscriptions</w:t>
      </w:r>
      <w:r w:rsidR="0082389C">
        <w:rPr>
          <w:rFonts w:ascii="Arial" w:hAnsi="Arial" w:cs="Arial"/>
          <w:sz w:val="28"/>
          <w:szCs w:val="28"/>
        </w:rPr>
        <w:t xml:space="preserve"> 2019-20</w:t>
      </w:r>
    </w:p>
    <w:p w14:paraId="09B3505C" w14:textId="77777777" w:rsidR="001E4CE7" w:rsidRDefault="001E4CE7" w:rsidP="00982B41">
      <w:pPr>
        <w:pStyle w:val="MainText"/>
        <w:spacing w:line="240" w:lineRule="auto"/>
        <w:rPr>
          <w:rFonts w:ascii="Arial" w:hAnsi="Arial" w:cs="Arial"/>
          <w:b/>
          <w:sz w:val="24"/>
          <w:szCs w:val="24"/>
        </w:rPr>
      </w:pPr>
    </w:p>
    <w:p w14:paraId="09B3505D" w14:textId="77777777" w:rsidR="00AA6F4D" w:rsidRPr="008E60AB" w:rsidRDefault="00AA6F4D" w:rsidP="00982B41">
      <w:pPr>
        <w:pStyle w:val="MainText"/>
        <w:spacing w:line="240" w:lineRule="auto"/>
        <w:rPr>
          <w:rFonts w:ascii="Arial" w:hAnsi="Arial" w:cs="Arial"/>
          <w:b/>
          <w:szCs w:val="22"/>
        </w:rPr>
      </w:pPr>
      <w:r w:rsidRPr="008E60AB">
        <w:rPr>
          <w:rFonts w:ascii="Arial" w:hAnsi="Arial" w:cs="Arial"/>
          <w:b/>
          <w:szCs w:val="22"/>
        </w:rPr>
        <w:t>Background</w:t>
      </w:r>
      <w:r w:rsidR="00982B41" w:rsidRPr="008E60AB">
        <w:rPr>
          <w:rFonts w:ascii="Arial" w:hAnsi="Arial" w:cs="Arial"/>
          <w:b/>
          <w:szCs w:val="22"/>
        </w:rPr>
        <w:t xml:space="preserve">  </w:t>
      </w:r>
    </w:p>
    <w:p w14:paraId="09B3505E" w14:textId="77777777" w:rsidR="00BF78CB" w:rsidRPr="008E60AB" w:rsidRDefault="00BF78CB" w:rsidP="002D6DE2">
      <w:pPr>
        <w:rPr>
          <w:rFonts w:ascii="Arial" w:hAnsi="Arial" w:cs="Arial"/>
          <w:szCs w:val="22"/>
        </w:rPr>
      </w:pPr>
    </w:p>
    <w:p w14:paraId="09B3505F" w14:textId="77777777" w:rsidR="004705E8" w:rsidRPr="00F471F6" w:rsidRDefault="004705E8" w:rsidP="002D6DE2">
      <w:pPr>
        <w:numPr>
          <w:ilvl w:val="0"/>
          <w:numId w:val="1"/>
        </w:numPr>
        <w:rPr>
          <w:rFonts w:ascii="Arial" w:hAnsi="Arial" w:cs="Arial"/>
          <w:szCs w:val="22"/>
        </w:rPr>
      </w:pPr>
      <w:r w:rsidRPr="00F471F6">
        <w:rPr>
          <w:rFonts w:ascii="Arial" w:hAnsi="Arial" w:cs="Arial"/>
          <w:szCs w:val="22"/>
        </w:rPr>
        <w:t xml:space="preserve">The </w:t>
      </w:r>
      <w:r w:rsidR="009579D3" w:rsidRPr="00F471F6">
        <w:rPr>
          <w:rFonts w:ascii="Arial" w:hAnsi="Arial" w:cs="Arial"/>
          <w:szCs w:val="22"/>
        </w:rPr>
        <w:t>current structure</w:t>
      </w:r>
      <w:r w:rsidR="00C91EA6" w:rsidRPr="00F471F6">
        <w:rPr>
          <w:rFonts w:ascii="Arial" w:hAnsi="Arial" w:cs="Arial"/>
          <w:szCs w:val="22"/>
        </w:rPr>
        <w:t xml:space="preserve"> of membership subscriptions, introduced in April 2010,</w:t>
      </w:r>
      <w:r w:rsidR="009579D3" w:rsidRPr="00F471F6">
        <w:rPr>
          <w:rFonts w:ascii="Arial" w:hAnsi="Arial" w:cs="Arial"/>
          <w:szCs w:val="22"/>
        </w:rPr>
        <w:t xml:space="preserve"> i</w:t>
      </w:r>
      <w:r w:rsidR="00F924F1" w:rsidRPr="00F471F6">
        <w:rPr>
          <w:rFonts w:ascii="Arial" w:hAnsi="Arial" w:cs="Arial"/>
          <w:szCs w:val="22"/>
        </w:rPr>
        <w:t xml:space="preserve">s </w:t>
      </w:r>
      <w:r w:rsidR="006A1C67" w:rsidRPr="00F471F6">
        <w:rPr>
          <w:rFonts w:ascii="Arial" w:hAnsi="Arial" w:cs="Arial"/>
          <w:szCs w:val="22"/>
        </w:rPr>
        <w:t>based broadly on</w:t>
      </w:r>
      <w:r w:rsidR="00F924F1" w:rsidRPr="00F471F6">
        <w:rPr>
          <w:rFonts w:ascii="Arial" w:hAnsi="Arial" w:cs="Arial"/>
          <w:szCs w:val="22"/>
        </w:rPr>
        <w:t xml:space="preserve"> pop</w:t>
      </w:r>
      <w:r w:rsidR="00B35D4E" w:rsidRPr="00F471F6">
        <w:rPr>
          <w:rFonts w:ascii="Arial" w:hAnsi="Arial" w:cs="Arial"/>
          <w:szCs w:val="22"/>
        </w:rPr>
        <w:t>ulation</w:t>
      </w:r>
      <w:r w:rsidR="006A1C67" w:rsidRPr="00F471F6">
        <w:rPr>
          <w:rFonts w:ascii="Arial" w:hAnsi="Arial" w:cs="Arial"/>
          <w:szCs w:val="22"/>
        </w:rPr>
        <w:t>, with formulae</w:t>
      </w:r>
      <w:r w:rsidR="009579D3" w:rsidRPr="00F471F6">
        <w:rPr>
          <w:rFonts w:ascii="Arial" w:hAnsi="Arial" w:cs="Arial"/>
          <w:szCs w:val="22"/>
        </w:rPr>
        <w:t xml:space="preserve"> applied</w:t>
      </w:r>
      <w:r w:rsidR="006A1C67" w:rsidRPr="00F471F6">
        <w:rPr>
          <w:rFonts w:ascii="Arial" w:hAnsi="Arial" w:cs="Arial"/>
          <w:szCs w:val="22"/>
        </w:rPr>
        <w:t xml:space="preserve"> for two tier areas and county councils with responsibility for fire and rescue</w:t>
      </w:r>
      <w:r w:rsidR="00B35D4E" w:rsidRPr="00F471F6">
        <w:rPr>
          <w:rFonts w:ascii="Arial" w:hAnsi="Arial" w:cs="Arial"/>
          <w:szCs w:val="22"/>
        </w:rPr>
        <w:t xml:space="preserve">. </w:t>
      </w:r>
      <w:r w:rsidR="009579D3" w:rsidRPr="00F471F6">
        <w:rPr>
          <w:rFonts w:ascii="Arial" w:hAnsi="Arial" w:cs="Arial"/>
          <w:szCs w:val="22"/>
        </w:rPr>
        <w:t>At the time</w:t>
      </w:r>
      <w:r w:rsidR="004555D6">
        <w:rPr>
          <w:rFonts w:ascii="Arial" w:hAnsi="Arial" w:cs="Arial"/>
          <w:szCs w:val="22"/>
        </w:rPr>
        <w:t>,</w:t>
      </w:r>
      <w:r w:rsidR="002606E7" w:rsidRPr="00F471F6">
        <w:rPr>
          <w:rFonts w:ascii="Arial" w:hAnsi="Arial" w:cs="Arial"/>
          <w:szCs w:val="22"/>
        </w:rPr>
        <w:t xml:space="preserve"> rather complex calculations were adopted to minimise the number of authorities who would see a substantial increase in their subscriptions</w:t>
      </w:r>
      <w:r w:rsidR="00746D9B">
        <w:rPr>
          <w:rFonts w:ascii="Arial" w:hAnsi="Arial" w:cs="Arial"/>
          <w:szCs w:val="22"/>
        </w:rPr>
        <w:t>, with</w:t>
      </w:r>
      <w:r w:rsidR="00F924F1" w:rsidRPr="00F471F6">
        <w:rPr>
          <w:rFonts w:ascii="Arial" w:hAnsi="Arial" w:cs="Arial"/>
          <w:szCs w:val="22"/>
        </w:rPr>
        <w:t xml:space="preserve"> prote</w:t>
      </w:r>
      <w:r w:rsidR="00746D9B">
        <w:rPr>
          <w:rFonts w:ascii="Arial" w:hAnsi="Arial" w:cs="Arial"/>
          <w:szCs w:val="22"/>
        </w:rPr>
        <w:t xml:space="preserve">ction </w:t>
      </w:r>
      <w:r w:rsidR="00F924F1" w:rsidRPr="00F471F6">
        <w:rPr>
          <w:rFonts w:ascii="Arial" w:hAnsi="Arial" w:cs="Arial"/>
          <w:szCs w:val="22"/>
        </w:rPr>
        <w:t xml:space="preserve">for the small number of authorities that would </w:t>
      </w:r>
      <w:r w:rsidR="002606E7" w:rsidRPr="00F471F6">
        <w:rPr>
          <w:rFonts w:ascii="Arial" w:hAnsi="Arial" w:cs="Arial"/>
          <w:szCs w:val="22"/>
        </w:rPr>
        <w:t>still be disadvantaged</w:t>
      </w:r>
      <w:r w:rsidR="00F924F1" w:rsidRPr="00F471F6">
        <w:rPr>
          <w:rFonts w:ascii="Arial" w:hAnsi="Arial" w:cs="Arial"/>
          <w:szCs w:val="22"/>
        </w:rPr>
        <w:t>.</w:t>
      </w:r>
      <w:r w:rsidR="00676855" w:rsidRPr="00F471F6">
        <w:rPr>
          <w:rFonts w:ascii="Arial" w:hAnsi="Arial" w:cs="Arial"/>
          <w:szCs w:val="22"/>
        </w:rPr>
        <w:t xml:space="preserve"> </w:t>
      </w:r>
      <w:r w:rsidR="005A3C26" w:rsidRPr="00F471F6">
        <w:rPr>
          <w:rFonts w:ascii="Arial" w:hAnsi="Arial" w:cs="Arial"/>
          <w:szCs w:val="22"/>
        </w:rPr>
        <w:t xml:space="preserve">A summary of the current scheme is attached at </w:t>
      </w:r>
      <w:r w:rsidR="005A3C26" w:rsidRPr="00C568F9">
        <w:rPr>
          <w:rFonts w:ascii="Arial" w:hAnsi="Arial" w:cs="Arial"/>
          <w:b/>
          <w:szCs w:val="22"/>
          <w:u w:val="single"/>
        </w:rPr>
        <w:t xml:space="preserve">Appendix </w:t>
      </w:r>
      <w:r w:rsidR="004009DB" w:rsidRPr="00C568F9">
        <w:rPr>
          <w:rFonts w:ascii="Arial" w:hAnsi="Arial" w:cs="Arial"/>
          <w:b/>
          <w:szCs w:val="22"/>
          <w:u w:val="single"/>
        </w:rPr>
        <w:t>A</w:t>
      </w:r>
      <w:r w:rsidR="005A3C26" w:rsidRPr="00F471F6">
        <w:rPr>
          <w:rFonts w:ascii="Arial" w:hAnsi="Arial" w:cs="Arial"/>
          <w:szCs w:val="22"/>
        </w:rPr>
        <w:t>.</w:t>
      </w:r>
    </w:p>
    <w:p w14:paraId="09B35060" w14:textId="77777777" w:rsidR="00144911" w:rsidRPr="008E60AB" w:rsidRDefault="00144911" w:rsidP="002D6DE2">
      <w:pPr>
        <w:rPr>
          <w:rFonts w:ascii="Arial" w:hAnsi="Arial" w:cs="Arial"/>
          <w:szCs w:val="22"/>
        </w:rPr>
      </w:pPr>
    </w:p>
    <w:p w14:paraId="09B35061" w14:textId="77777777" w:rsidR="00C91EA6" w:rsidRDefault="00A413B0" w:rsidP="00984E45">
      <w:pPr>
        <w:numPr>
          <w:ilvl w:val="0"/>
          <w:numId w:val="1"/>
        </w:numPr>
        <w:spacing w:after="120"/>
        <w:ind w:left="357" w:hanging="357"/>
        <w:rPr>
          <w:rFonts w:ascii="Arial" w:hAnsi="Arial" w:cs="Arial"/>
          <w:szCs w:val="22"/>
        </w:rPr>
      </w:pPr>
      <w:r w:rsidRPr="00626B51">
        <w:rPr>
          <w:rFonts w:ascii="Arial" w:hAnsi="Arial" w:cs="Arial"/>
          <w:szCs w:val="22"/>
        </w:rPr>
        <w:t>In 2018/19</w:t>
      </w:r>
      <w:r w:rsidR="00E5041B" w:rsidRPr="00626B51">
        <w:rPr>
          <w:rFonts w:ascii="Arial" w:hAnsi="Arial" w:cs="Arial"/>
          <w:szCs w:val="22"/>
        </w:rPr>
        <w:t xml:space="preserve">, subscription income stands at </w:t>
      </w:r>
      <w:r w:rsidR="00E5041B" w:rsidRPr="00626B51">
        <w:rPr>
          <w:rFonts w:ascii="Arial" w:hAnsi="Arial" w:cs="Arial"/>
          <w:b/>
          <w:szCs w:val="22"/>
        </w:rPr>
        <w:t>£9.</w:t>
      </w:r>
      <w:r w:rsidR="0043544D" w:rsidRPr="00626B51">
        <w:rPr>
          <w:rFonts w:ascii="Arial" w:hAnsi="Arial" w:cs="Arial"/>
          <w:b/>
          <w:szCs w:val="22"/>
        </w:rPr>
        <w:t>35</w:t>
      </w:r>
      <w:r w:rsidR="00E5041B" w:rsidRPr="00626B51">
        <w:rPr>
          <w:rFonts w:ascii="Arial" w:hAnsi="Arial" w:cs="Arial"/>
          <w:b/>
          <w:szCs w:val="22"/>
        </w:rPr>
        <w:t xml:space="preserve"> million</w:t>
      </w:r>
      <w:r w:rsidR="00E5041B" w:rsidRPr="00626B51">
        <w:rPr>
          <w:rFonts w:ascii="Arial" w:hAnsi="Arial" w:cs="Arial"/>
          <w:szCs w:val="22"/>
        </w:rPr>
        <w:t xml:space="preserve">. This is an overall </w:t>
      </w:r>
      <w:r w:rsidR="006A1C67" w:rsidRPr="00626B51">
        <w:rPr>
          <w:rFonts w:ascii="Arial" w:hAnsi="Arial" w:cs="Arial"/>
          <w:szCs w:val="22"/>
        </w:rPr>
        <w:t>reduction of</w:t>
      </w:r>
      <w:r w:rsidR="00144911" w:rsidRPr="00626B51">
        <w:rPr>
          <w:rFonts w:ascii="Arial" w:hAnsi="Arial" w:cs="Arial"/>
          <w:szCs w:val="22"/>
        </w:rPr>
        <w:t xml:space="preserve"> </w:t>
      </w:r>
      <w:r w:rsidR="00F471F6" w:rsidRPr="00626B51">
        <w:rPr>
          <w:rFonts w:ascii="Arial" w:hAnsi="Arial" w:cs="Arial"/>
          <w:szCs w:val="22"/>
        </w:rPr>
        <w:t>33</w:t>
      </w:r>
      <w:r w:rsidR="00D54A8F">
        <w:rPr>
          <w:rFonts w:ascii="Arial" w:hAnsi="Arial" w:cs="Arial"/>
          <w:szCs w:val="22"/>
        </w:rPr>
        <w:t xml:space="preserve"> per cent</w:t>
      </w:r>
      <w:r w:rsidR="00E5041B" w:rsidRPr="00626B51">
        <w:rPr>
          <w:rFonts w:ascii="Arial" w:hAnsi="Arial" w:cs="Arial"/>
          <w:szCs w:val="22"/>
        </w:rPr>
        <w:t xml:space="preserve"> since 2009/10</w:t>
      </w:r>
      <w:r w:rsidR="00E270E0" w:rsidRPr="00626B51">
        <w:rPr>
          <w:rFonts w:ascii="Arial" w:hAnsi="Arial" w:cs="Arial"/>
          <w:szCs w:val="22"/>
        </w:rPr>
        <w:t xml:space="preserve"> </w:t>
      </w:r>
      <w:r w:rsidR="00746D9B" w:rsidRPr="00626B51">
        <w:rPr>
          <w:rFonts w:ascii="Arial" w:hAnsi="Arial" w:cs="Arial"/>
          <w:szCs w:val="22"/>
        </w:rPr>
        <w:t>and</w:t>
      </w:r>
      <w:r w:rsidR="00C91EA6" w:rsidRPr="00626B51">
        <w:rPr>
          <w:rFonts w:ascii="Arial" w:hAnsi="Arial" w:cs="Arial"/>
          <w:szCs w:val="22"/>
        </w:rPr>
        <w:t xml:space="preserve"> include</w:t>
      </w:r>
      <w:r w:rsidR="00746D9B" w:rsidRPr="00626B51">
        <w:rPr>
          <w:rFonts w:ascii="Arial" w:hAnsi="Arial" w:cs="Arial"/>
          <w:szCs w:val="22"/>
        </w:rPr>
        <w:t>s</w:t>
      </w:r>
      <w:r w:rsidR="00746D9B">
        <w:rPr>
          <w:rFonts w:ascii="Arial" w:hAnsi="Arial" w:cs="Arial"/>
          <w:szCs w:val="22"/>
        </w:rPr>
        <w:t>:</w:t>
      </w:r>
    </w:p>
    <w:p w14:paraId="09B35062" w14:textId="77777777" w:rsidR="00746D9B" w:rsidRDefault="00746D9B" w:rsidP="002D6DE2">
      <w:pPr>
        <w:numPr>
          <w:ilvl w:val="1"/>
          <w:numId w:val="26"/>
        </w:numPr>
        <w:ind w:left="993" w:hanging="567"/>
        <w:rPr>
          <w:rFonts w:ascii="Arial" w:hAnsi="Arial" w:cs="Arial"/>
          <w:szCs w:val="22"/>
        </w:rPr>
      </w:pPr>
      <w:r w:rsidRPr="00746D9B">
        <w:rPr>
          <w:rFonts w:ascii="Arial" w:hAnsi="Arial" w:cs="Arial"/>
          <w:szCs w:val="22"/>
        </w:rPr>
        <w:t>2.5</w:t>
      </w:r>
      <w:r w:rsidR="00D54A8F">
        <w:rPr>
          <w:rFonts w:ascii="Arial" w:hAnsi="Arial" w:cs="Arial"/>
          <w:szCs w:val="22"/>
        </w:rPr>
        <w:t xml:space="preserve"> per cent</w:t>
      </w:r>
      <w:r w:rsidRPr="00746D9B">
        <w:rPr>
          <w:rFonts w:ascii="Arial" w:hAnsi="Arial" w:cs="Arial"/>
          <w:szCs w:val="22"/>
        </w:rPr>
        <w:t xml:space="preserve"> prompt payment discount </w:t>
      </w:r>
      <w:r w:rsidR="00C91EA6" w:rsidRPr="00746D9B">
        <w:rPr>
          <w:rFonts w:ascii="Arial" w:hAnsi="Arial" w:cs="Arial"/>
          <w:szCs w:val="22"/>
        </w:rPr>
        <w:t xml:space="preserve">for </w:t>
      </w:r>
      <w:r w:rsidRPr="00746D9B">
        <w:rPr>
          <w:rFonts w:ascii="Arial" w:hAnsi="Arial" w:cs="Arial"/>
          <w:szCs w:val="22"/>
        </w:rPr>
        <w:t>payment</w:t>
      </w:r>
      <w:r w:rsidR="00C91EA6" w:rsidRPr="00746D9B">
        <w:rPr>
          <w:rFonts w:ascii="Arial" w:hAnsi="Arial" w:cs="Arial"/>
          <w:szCs w:val="22"/>
        </w:rPr>
        <w:t xml:space="preserve"> by 30 June. </w:t>
      </w:r>
    </w:p>
    <w:p w14:paraId="09B35063" w14:textId="77777777" w:rsidR="00C91EA6" w:rsidRDefault="00C91EA6" w:rsidP="002D6DE2">
      <w:pPr>
        <w:numPr>
          <w:ilvl w:val="1"/>
          <w:numId w:val="26"/>
        </w:numPr>
        <w:ind w:left="992" w:hanging="567"/>
        <w:rPr>
          <w:rFonts w:ascii="Arial" w:hAnsi="Arial" w:cs="Arial"/>
          <w:szCs w:val="22"/>
        </w:rPr>
      </w:pPr>
      <w:r w:rsidRPr="00746D9B">
        <w:rPr>
          <w:rFonts w:ascii="Arial" w:hAnsi="Arial" w:cs="Arial"/>
          <w:szCs w:val="22"/>
        </w:rPr>
        <w:t>2.5</w:t>
      </w:r>
      <w:r w:rsidR="00D54A8F">
        <w:rPr>
          <w:rFonts w:ascii="Arial" w:hAnsi="Arial" w:cs="Arial"/>
          <w:szCs w:val="22"/>
        </w:rPr>
        <w:t xml:space="preserve"> per cent</w:t>
      </w:r>
      <w:r w:rsidRPr="00746D9B">
        <w:rPr>
          <w:rFonts w:ascii="Arial" w:hAnsi="Arial" w:cs="Arial"/>
          <w:szCs w:val="22"/>
        </w:rPr>
        <w:t xml:space="preserve"> loyalty discount, </w:t>
      </w:r>
      <w:r w:rsidR="00746D9B" w:rsidRPr="00746D9B">
        <w:rPr>
          <w:rFonts w:ascii="Arial" w:hAnsi="Arial" w:cs="Arial"/>
          <w:szCs w:val="22"/>
        </w:rPr>
        <w:t>for councils</w:t>
      </w:r>
      <w:r w:rsidRPr="00746D9B">
        <w:rPr>
          <w:rFonts w:ascii="Arial" w:hAnsi="Arial" w:cs="Arial"/>
          <w:szCs w:val="22"/>
        </w:rPr>
        <w:t xml:space="preserve"> not </w:t>
      </w:r>
      <w:r w:rsidR="00F471F6" w:rsidRPr="00746D9B">
        <w:rPr>
          <w:rFonts w:ascii="Arial" w:hAnsi="Arial" w:cs="Arial"/>
          <w:szCs w:val="22"/>
        </w:rPr>
        <w:t>on</w:t>
      </w:r>
      <w:r w:rsidRPr="00746D9B">
        <w:rPr>
          <w:rFonts w:ascii="Arial" w:hAnsi="Arial" w:cs="Arial"/>
          <w:szCs w:val="22"/>
        </w:rPr>
        <w:t xml:space="preserve"> notice to withdraw from the LGA.</w:t>
      </w:r>
    </w:p>
    <w:p w14:paraId="09B35064" w14:textId="77777777" w:rsidR="00241CBC" w:rsidRPr="00746D9B" w:rsidRDefault="00241CBC" w:rsidP="002D6DE2">
      <w:pPr>
        <w:numPr>
          <w:ilvl w:val="1"/>
          <w:numId w:val="26"/>
        </w:numPr>
        <w:ind w:left="992" w:hanging="567"/>
        <w:rPr>
          <w:rFonts w:ascii="Arial" w:hAnsi="Arial" w:cs="Arial"/>
          <w:szCs w:val="22"/>
        </w:rPr>
      </w:pPr>
      <w:r>
        <w:rPr>
          <w:rFonts w:ascii="Arial" w:hAnsi="Arial" w:cs="Arial"/>
          <w:szCs w:val="22"/>
        </w:rPr>
        <w:t>The latest 5 year increase in discount paid to former councils of the AMA.</w:t>
      </w:r>
    </w:p>
    <w:p w14:paraId="09B35065" w14:textId="77777777" w:rsidR="00E270E0" w:rsidRPr="00615819" w:rsidRDefault="00E270E0" w:rsidP="002D6DE2">
      <w:pPr>
        <w:rPr>
          <w:rFonts w:ascii="Arial" w:hAnsi="Arial" w:cs="Arial"/>
          <w:szCs w:val="22"/>
        </w:rPr>
      </w:pPr>
    </w:p>
    <w:tbl>
      <w:tblPr>
        <w:tblW w:w="9521" w:type="dxa"/>
        <w:tblInd w:w="250" w:type="dxa"/>
        <w:tblCellMar>
          <w:left w:w="0" w:type="dxa"/>
          <w:right w:w="0" w:type="dxa"/>
        </w:tblCellMar>
        <w:tblLook w:val="04A0" w:firstRow="1" w:lastRow="0" w:firstColumn="1" w:lastColumn="0" w:noHBand="0" w:noVBand="1"/>
      </w:tblPr>
      <w:tblGrid>
        <w:gridCol w:w="2434"/>
        <w:gridCol w:w="1420"/>
        <w:gridCol w:w="1415"/>
        <w:gridCol w:w="1417"/>
        <w:gridCol w:w="1276"/>
        <w:gridCol w:w="1559"/>
      </w:tblGrid>
      <w:tr w:rsidR="00E067F9" w:rsidRPr="00615819" w14:paraId="09B3506C" w14:textId="77777777" w:rsidTr="002075E0">
        <w:trPr>
          <w:trHeight w:val="510"/>
        </w:trPr>
        <w:tc>
          <w:tcPr>
            <w:tcW w:w="2434" w:type="dxa"/>
            <w:tcBorders>
              <w:top w:val="single" w:sz="8" w:space="0" w:color="auto"/>
              <w:left w:val="single" w:sz="8" w:space="0" w:color="auto"/>
              <w:bottom w:val="single" w:sz="8" w:space="0" w:color="auto"/>
              <w:right w:val="single" w:sz="8" w:space="0" w:color="auto"/>
            </w:tcBorders>
            <w:shd w:val="clear" w:color="auto" w:fill="DDD9C4"/>
            <w:tcMar>
              <w:top w:w="0" w:type="dxa"/>
              <w:left w:w="108" w:type="dxa"/>
              <w:bottom w:w="0" w:type="dxa"/>
              <w:right w:w="108" w:type="dxa"/>
            </w:tcMar>
            <w:hideMark/>
          </w:tcPr>
          <w:p w14:paraId="09B35066" w14:textId="77777777" w:rsidR="00E067F9" w:rsidRPr="00F471F6" w:rsidRDefault="00E067F9" w:rsidP="002D6DE2">
            <w:pPr>
              <w:rPr>
                <w:rFonts w:ascii="Arial" w:hAnsi="Arial" w:cs="Arial"/>
                <w:b/>
                <w:sz w:val="20"/>
              </w:rPr>
            </w:pPr>
            <w:r w:rsidRPr="00F471F6">
              <w:rPr>
                <w:rFonts w:ascii="Arial" w:hAnsi="Arial" w:cs="Arial"/>
                <w:b/>
                <w:sz w:val="20"/>
              </w:rPr>
              <w:t xml:space="preserve">Authority type </w:t>
            </w:r>
          </w:p>
        </w:tc>
        <w:tc>
          <w:tcPr>
            <w:tcW w:w="142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14:paraId="09B35067" w14:textId="77777777" w:rsidR="00E067F9" w:rsidRPr="00F471F6" w:rsidRDefault="00E067F9" w:rsidP="002D6DE2">
            <w:pPr>
              <w:rPr>
                <w:rFonts w:ascii="Arial" w:hAnsi="Arial" w:cs="Arial"/>
                <w:b/>
                <w:sz w:val="20"/>
              </w:rPr>
            </w:pPr>
            <w:r w:rsidRPr="00F471F6">
              <w:rPr>
                <w:rFonts w:ascii="Arial" w:hAnsi="Arial" w:cs="Arial"/>
                <w:b/>
                <w:sz w:val="20"/>
              </w:rPr>
              <w:t>2009-10 subs (£000)</w:t>
            </w:r>
          </w:p>
        </w:tc>
        <w:tc>
          <w:tcPr>
            <w:tcW w:w="1415"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14:paraId="09B35068" w14:textId="77777777" w:rsidR="00E067F9" w:rsidRPr="00626B51" w:rsidRDefault="00F12660" w:rsidP="002D6DE2">
            <w:pPr>
              <w:rPr>
                <w:rFonts w:ascii="Arial" w:hAnsi="Arial" w:cs="Arial"/>
                <w:b/>
                <w:sz w:val="20"/>
              </w:rPr>
            </w:pPr>
            <w:r w:rsidRPr="00626B51">
              <w:rPr>
                <w:rFonts w:ascii="Arial" w:hAnsi="Arial" w:cs="Arial"/>
                <w:b/>
                <w:sz w:val="20"/>
              </w:rPr>
              <w:t>2018-19</w:t>
            </w:r>
            <w:r w:rsidR="00E067F9" w:rsidRPr="00626B51">
              <w:rPr>
                <w:rFonts w:ascii="Arial" w:hAnsi="Arial" w:cs="Arial"/>
                <w:b/>
                <w:sz w:val="20"/>
              </w:rPr>
              <w:t xml:space="preserve"> subs (£000)</w:t>
            </w:r>
          </w:p>
        </w:tc>
        <w:tc>
          <w:tcPr>
            <w:tcW w:w="1417"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14:paraId="09B35069" w14:textId="77777777" w:rsidR="00E067F9" w:rsidRPr="00626B51" w:rsidRDefault="00E067F9" w:rsidP="002D6DE2">
            <w:pPr>
              <w:rPr>
                <w:rFonts w:ascii="Arial" w:hAnsi="Arial" w:cs="Arial"/>
                <w:b/>
                <w:sz w:val="20"/>
              </w:rPr>
            </w:pPr>
            <w:r w:rsidRPr="00626B51">
              <w:rPr>
                <w:rFonts w:ascii="Arial" w:hAnsi="Arial" w:cs="Arial"/>
                <w:b/>
                <w:sz w:val="20"/>
              </w:rPr>
              <w:t>Reduction (£000)</w:t>
            </w:r>
          </w:p>
        </w:tc>
        <w:tc>
          <w:tcPr>
            <w:tcW w:w="1276"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14:paraId="09B3506A" w14:textId="77777777" w:rsidR="00E067F9" w:rsidRPr="00626B51" w:rsidRDefault="00E067F9" w:rsidP="008471D1">
            <w:pPr>
              <w:jc w:val="center"/>
              <w:rPr>
                <w:rFonts w:ascii="Arial" w:hAnsi="Arial" w:cs="Arial"/>
                <w:b/>
                <w:sz w:val="20"/>
              </w:rPr>
            </w:pPr>
            <w:r w:rsidRPr="00626B51">
              <w:rPr>
                <w:rFonts w:ascii="Arial" w:hAnsi="Arial" w:cs="Arial"/>
                <w:b/>
                <w:sz w:val="20"/>
              </w:rPr>
              <w:t>Reduction</w:t>
            </w:r>
          </w:p>
        </w:tc>
        <w:tc>
          <w:tcPr>
            <w:tcW w:w="1559" w:type="dxa"/>
            <w:tcBorders>
              <w:top w:val="single" w:sz="8" w:space="0" w:color="auto"/>
              <w:left w:val="nil"/>
              <w:bottom w:val="single" w:sz="8" w:space="0" w:color="auto"/>
              <w:right w:val="single" w:sz="8" w:space="0" w:color="auto"/>
            </w:tcBorders>
            <w:shd w:val="clear" w:color="auto" w:fill="DDD9C4"/>
          </w:tcPr>
          <w:p w14:paraId="09B3506B" w14:textId="77777777" w:rsidR="00E067F9" w:rsidRPr="00626B51" w:rsidRDefault="00E067F9" w:rsidP="008471D1">
            <w:pPr>
              <w:jc w:val="center"/>
              <w:rPr>
                <w:rFonts w:ascii="Arial" w:hAnsi="Arial" w:cs="Arial"/>
                <w:b/>
                <w:sz w:val="20"/>
              </w:rPr>
            </w:pPr>
            <w:r w:rsidRPr="00626B51">
              <w:rPr>
                <w:rFonts w:ascii="Arial" w:hAnsi="Arial" w:cs="Arial"/>
                <w:b/>
                <w:sz w:val="20"/>
              </w:rPr>
              <w:t>Average</w:t>
            </w:r>
            <w:r w:rsidR="008471D1" w:rsidRPr="00626B51">
              <w:rPr>
                <w:rFonts w:ascii="Arial" w:hAnsi="Arial" w:cs="Arial"/>
                <w:b/>
                <w:sz w:val="20"/>
              </w:rPr>
              <w:t xml:space="preserve"> sub</w:t>
            </w:r>
            <w:r w:rsidR="00A81AC8" w:rsidRPr="00626B51">
              <w:rPr>
                <w:rFonts w:ascii="Arial" w:hAnsi="Arial" w:cs="Arial"/>
                <w:b/>
                <w:sz w:val="20"/>
              </w:rPr>
              <w:t xml:space="preserve"> </w:t>
            </w:r>
            <w:r w:rsidR="00A81AC8" w:rsidRPr="00626B51">
              <w:rPr>
                <w:rFonts w:ascii="Arial" w:hAnsi="Arial" w:cs="Arial"/>
                <w:b/>
                <w:sz w:val="20"/>
              </w:rPr>
              <w:br/>
              <w:t>2018-19</w:t>
            </w:r>
            <w:r w:rsidR="00F45FD6" w:rsidRPr="00626B51">
              <w:rPr>
                <w:rFonts w:ascii="Arial" w:hAnsi="Arial" w:cs="Arial"/>
                <w:b/>
                <w:sz w:val="20"/>
              </w:rPr>
              <w:t xml:space="preserve"> </w:t>
            </w:r>
            <w:r w:rsidR="008471D1" w:rsidRPr="00626B51">
              <w:rPr>
                <w:rFonts w:ascii="Arial" w:hAnsi="Arial" w:cs="Arial"/>
                <w:b/>
                <w:sz w:val="20"/>
              </w:rPr>
              <w:t>(</w:t>
            </w:r>
            <w:r w:rsidRPr="00626B51">
              <w:rPr>
                <w:rFonts w:ascii="Arial" w:hAnsi="Arial" w:cs="Arial"/>
                <w:b/>
                <w:sz w:val="20"/>
              </w:rPr>
              <w:t>£</w:t>
            </w:r>
            <w:r w:rsidR="008471D1" w:rsidRPr="00626B51">
              <w:rPr>
                <w:rFonts w:ascii="Arial" w:hAnsi="Arial" w:cs="Arial"/>
                <w:b/>
                <w:sz w:val="20"/>
              </w:rPr>
              <w:t>)</w:t>
            </w:r>
          </w:p>
        </w:tc>
      </w:tr>
      <w:tr w:rsidR="00E067F9" w:rsidRPr="00615819" w14:paraId="09B35073" w14:textId="77777777" w:rsidTr="002075E0">
        <w:trPr>
          <w:trHeight w:val="300"/>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3506D" w14:textId="77777777" w:rsidR="00E067F9" w:rsidRPr="00F471F6" w:rsidRDefault="00E067F9" w:rsidP="002D6DE2">
            <w:pPr>
              <w:rPr>
                <w:rFonts w:ascii="Arial" w:hAnsi="Arial" w:cs="Arial"/>
                <w:sz w:val="20"/>
              </w:rPr>
            </w:pPr>
            <w:r w:rsidRPr="00F471F6">
              <w:rPr>
                <w:rFonts w:ascii="Arial" w:hAnsi="Arial" w:cs="Arial"/>
                <w:sz w:val="20"/>
              </w:rPr>
              <w:t>Shire Districts</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9B3506E" w14:textId="77777777" w:rsidR="00E067F9" w:rsidRPr="00F471F6" w:rsidRDefault="00E067F9" w:rsidP="002D6DE2">
            <w:pPr>
              <w:jc w:val="right"/>
              <w:rPr>
                <w:rFonts w:ascii="Arial" w:hAnsi="Arial" w:cs="Arial"/>
                <w:sz w:val="20"/>
              </w:rPr>
            </w:pPr>
            <w:r w:rsidRPr="00F471F6">
              <w:rPr>
                <w:rFonts w:ascii="Arial" w:hAnsi="Arial" w:cs="Arial"/>
                <w:sz w:val="20"/>
              </w:rPr>
              <w:t>2,569</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09B3506F" w14:textId="77777777" w:rsidR="00E067F9" w:rsidRPr="00626B51" w:rsidRDefault="00E067F9" w:rsidP="006C1300">
            <w:pPr>
              <w:jc w:val="right"/>
              <w:rPr>
                <w:rFonts w:ascii="Arial" w:hAnsi="Arial" w:cs="Arial"/>
                <w:sz w:val="20"/>
              </w:rPr>
            </w:pPr>
            <w:r w:rsidRPr="00626B51">
              <w:rPr>
                <w:rFonts w:ascii="Arial" w:hAnsi="Arial" w:cs="Arial"/>
                <w:sz w:val="20"/>
              </w:rPr>
              <w:t>1,8</w:t>
            </w:r>
            <w:r w:rsidR="006C1300" w:rsidRPr="00626B51">
              <w:rPr>
                <w:rFonts w:ascii="Arial" w:hAnsi="Arial" w:cs="Arial"/>
                <w:sz w:val="20"/>
              </w:rPr>
              <w:t>52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9B35070" w14:textId="77777777" w:rsidR="00E067F9" w:rsidRPr="00626B51" w:rsidRDefault="006C1300" w:rsidP="002D6DE2">
            <w:pPr>
              <w:jc w:val="right"/>
              <w:rPr>
                <w:rFonts w:ascii="Arial" w:hAnsi="Arial" w:cs="Arial"/>
                <w:sz w:val="20"/>
              </w:rPr>
            </w:pPr>
            <w:r w:rsidRPr="00626B51">
              <w:rPr>
                <w:rFonts w:ascii="Arial" w:hAnsi="Arial" w:cs="Arial"/>
                <w:sz w:val="20"/>
              </w:rPr>
              <w:t>717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9B35071" w14:textId="77777777" w:rsidR="00E067F9" w:rsidRPr="00626B51" w:rsidRDefault="00E067F9" w:rsidP="002D6DE2">
            <w:pPr>
              <w:jc w:val="right"/>
              <w:rPr>
                <w:rFonts w:ascii="Arial" w:hAnsi="Arial" w:cs="Arial"/>
                <w:sz w:val="20"/>
              </w:rPr>
            </w:pPr>
            <w:r w:rsidRPr="00626B51">
              <w:rPr>
                <w:rFonts w:ascii="Arial" w:hAnsi="Arial" w:cs="Arial"/>
                <w:sz w:val="20"/>
              </w:rPr>
              <w:t>28%</w:t>
            </w:r>
          </w:p>
        </w:tc>
        <w:tc>
          <w:tcPr>
            <w:tcW w:w="1559" w:type="dxa"/>
            <w:tcBorders>
              <w:top w:val="nil"/>
              <w:left w:val="nil"/>
              <w:bottom w:val="single" w:sz="8" w:space="0" w:color="auto"/>
              <w:right w:val="single" w:sz="8" w:space="0" w:color="auto"/>
            </w:tcBorders>
          </w:tcPr>
          <w:p w14:paraId="09B35072" w14:textId="77777777" w:rsidR="00E067F9" w:rsidRPr="00626B51" w:rsidRDefault="00E067F9" w:rsidP="008471D1">
            <w:pPr>
              <w:ind w:right="260"/>
              <w:jc w:val="right"/>
              <w:rPr>
                <w:rFonts w:ascii="Arial" w:hAnsi="Arial" w:cs="Arial"/>
                <w:sz w:val="20"/>
              </w:rPr>
            </w:pPr>
            <w:r w:rsidRPr="00626B51">
              <w:rPr>
                <w:rFonts w:ascii="Arial" w:hAnsi="Arial" w:cs="Arial"/>
                <w:sz w:val="20"/>
              </w:rPr>
              <w:t>9,300</w:t>
            </w:r>
          </w:p>
        </w:tc>
      </w:tr>
      <w:tr w:rsidR="00E067F9" w:rsidRPr="00615819" w14:paraId="09B3507A" w14:textId="77777777" w:rsidTr="002075E0">
        <w:trPr>
          <w:trHeight w:val="300"/>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35074" w14:textId="77777777" w:rsidR="00E067F9" w:rsidRPr="00F471F6" w:rsidRDefault="00E067F9" w:rsidP="002D6DE2">
            <w:pPr>
              <w:rPr>
                <w:rFonts w:ascii="Arial" w:hAnsi="Arial" w:cs="Arial"/>
                <w:sz w:val="20"/>
              </w:rPr>
            </w:pPr>
            <w:r w:rsidRPr="00F471F6">
              <w:rPr>
                <w:rFonts w:ascii="Arial" w:hAnsi="Arial" w:cs="Arial"/>
                <w:sz w:val="20"/>
              </w:rPr>
              <w:t>Counties</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9B35075" w14:textId="77777777" w:rsidR="00E067F9" w:rsidRPr="00F471F6" w:rsidRDefault="00E067F9" w:rsidP="002D6DE2">
            <w:pPr>
              <w:jc w:val="right"/>
              <w:rPr>
                <w:rFonts w:ascii="Arial" w:hAnsi="Arial" w:cs="Arial"/>
                <w:sz w:val="20"/>
              </w:rPr>
            </w:pPr>
            <w:r w:rsidRPr="00F471F6">
              <w:rPr>
                <w:rFonts w:ascii="Arial" w:hAnsi="Arial" w:cs="Arial"/>
                <w:sz w:val="20"/>
              </w:rPr>
              <w:t>2,650</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09B35076" w14:textId="77777777" w:rsidR="00E067F9" w:rsidRPr="00626B51" w:rsidRDefault="00E067F9" w:rsidP="006C1300">
            <w:pPr>
              <w:jc w:val="right"/>
              <w:rPr>
                <w:rFonts w:ascii="Arial" w:hAnsi="Arial" w:cs="Arial"/>
                <w:sz w:val="20"/>
              </w:rPr>
            </w:pPr>
            <w:r w:rsidRPr="00626B51">
              <w:rPr>
                <w:rFonts w:ascii="Arial" w:hAnsi="Arial" w:cs="Arial"/>
                <w:sz w:val="20"/>
              </w:rPr>
              <w:t>1,93</w:t>
            </w:r>
            <w:r w:rsidR="00580B98" w:rsidRPr="00626B51">
              <w:rPr>
                <w:rFonts w:ascii="Arial" w:hAnsi="Arial" w:cs="Arial"/>
                <w:sz w:val="20"/>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9B35077" w14:textId="77777777" w:rsidR="00E067F9" w:rsidRPr="00626B51" w:rsidRDefault="00E067F9" w:rsidP="002D6DE2">
            <w:pPr>
              <w:jc w:val="right"/>
              <w:rPr>
                <w:rFonts w:ascii="Arial" w:hAnsi="Arial" w:cs="Arial"/>
                <w:sz w:val="20"/>
              </w:rPr>
            </w:pPr>
            <w:r w:rsidRPr="00626B51">
              <w:rPr>
                <w:rFonts w:ascii="Arial" w:hAnsi="Arial" w:cs="Arial"/>
                <w:sz w:val="20"/>
              </w:rPr>
              <w:t>71</w:t>
            </w:r>
            <w:r w:rsidR="00ED394A" w:rsidRPr="00626B51">
              <w:rPr>
                <w:rFonts w:ascii="Arial" w:hAnsi="Arial" w:cs="Arial"/>
                <w:sz w:val="20"/>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9B35078" w14:textId="77777777" w:rsidR="00E067F9" w:rsidRPr="00626B51" w:rsidRDefault="00E067F9" w:rsidP="002D6DE2">
            <w:pPr>
              <w:jc w:val="right"/>
              <w:rPr>
                <w:rFonts w:ascii="Arial" w:hAnsi="Arial" w:cs="Arial"/>
                <w:sz w:val="20"/>
              </w:rPr>
            </w:pPr>
            <w:r w:rsidRPr="00626B51">
              <w:rPr>
                <w:rFonts w:ascii="Arial" w:hAnsi="Arial" w:cs="Arial"/>
                <w:sz w:val="20"/>
              </w:rPr>
              <w:t>27%</w:t>
            </w:r>
          </w:p>
        </w:tc>
        <w:tc>
          <w:tcPr>
            <w:tcW w:w="1559" w:type="dxa"/>
            <w:tcBorders>
              <w:top w:val="nil"/>
              <w:left w:val="nil"/>
              <w:bottom w:val="single" w:sz="8" w:space="0" w:color="auto"/>
              <w:right w:val="single" w:sz="8" w:space="0" w:color="auto"/>
            </w:tcBorders>
          </w:tcPr>
          <w:p w14:paraId="09B35079" w14:textId="77777777" w:rsidR="00E067F9" w:rsidRPr="00626B51" w:rsidRDefault="0014060F" w:rsidP="0014060F">
            <w:pPr>
              <w:ind w:right="260"/>
              <w:jc w:val="right"/>
              <w:rPr>
                <w:rFonts w:ascii="Arial" w:hAnsi="Arial" w:cs="Arial"/>
                <w:sz w:val="20"/>
              </w:rPr>
            </w:pPr>
            <w:r w:rsidRPr="00626B51">
              <w:rPr>
                <w:rFonts w:ascii="Arial" w:hAnsi="Arial" w:cs="Arial"/>
                <w:sz w:val="20"/>
              </w:rPr>
              <w:t>71,7</w:t>
            </w:r>
            <w:r w:rsidR="00E067F9" w:rsidRPr="00626B51">
              <w:rPr>
                <w:rFonts w:ascii="Arial" w:hAnsi="Arial" w:cs="Arial"/>
                <w:sz w:val="20"/>
              </w:rPr>
              <w:t>00</w:t>
            </w:r>
          </w:p>
        </w:tc>
      </w:tr>
      <w:tr w:rsidR="00E067F9" w:rsidRPr="00615819" w14:paraId="09B35081" w14:textId="77777777" w:rsidTr="002075E0">
        <w:trPr>
          <w:trHeight w:val="300"/>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3507B" w14:textId="77777777" w:rsidR="00E067F9" w:rsidRPr="00F471F6" w:rsidRDefault="00E067F9" w:rsidP="002D6DE2">
            <w:pPr>
              <w:rPr>
                <w:rFonts w:ascii="Arial" w:hAnsi="Arial" w:cs="Arial"/>
                <w:sz w:val="20"/>
              </w:rPr>
            </w:pPr>
            <w:r w:rsidRPr="00F471F6">
              <w:rPr>
                <w:rFonts w:ascii="Arial" w:hAnsi="Arial" w:cs="Arial"/>
                <w:sz w:val="20"/>
              </w:rPr>
              <w:t>London</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9B3507C" w14:textId="77777777" w:rsidR="00E067F9" w:rsidRPr="00F471F6" w:rsidRDefault="00E067F9" w:rsidP="002D6DE2">
            <w:pPr>
              <w:jc w:val="right"/>
              <w:rPr>
                <w:rFonts w:ascii="Arial" w:hAnsi="Arial" w:cs="Arial"/>
                <w:sz w:val="20"/>
              </w:rPr>
            </w:pPr>
            <w:r w:rsidRPr="00F471F6">
              <w:rPr>
                <w:rFonts w:ascii="Arial" w:hAnsi="Arial" w:cs="Arial"/>
                <w:sz w:val="20"/>
              </w:rPr>
              <w:t>1,876</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09B3507D" w14:textId="77777777" w:rsidR="00E067F9" w:rsidRPr="00626B51" w:rsidRDefault="00E067F9" w:rsidP="002D6DE2">
            <w:pPr>
              <w:jc w:val="right"/>
              <w:rPr>
                <w:rFonts w:ascii="Arial" w:hAnsi="Arial" w:cs="Arial"/>
                <w:sz w:val="20"/>
              </w:rPr>
            </w:pPr>
            <w:r w:rsidRPr="00626B51">
              <w:rPr>
                <w:rFonts w:ascii="Arial" w:hAnsi="Arial" w:cs="Arial"/>
                <w:sz w:val="20"/>
              </w:rPr>
              <w:t>1,</w:t>
            </w:r>
            <w:r w:rsidR="00580B98" w:rsidRPr="00626B51">
              <w:rPr>
                <w:rFonts w:ascii="Arial" w:hAnsi="Arial" w:cs="Arial"/>
                <w:sz w:val="20"/>
              </w:rPr>
              <w:t>086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9B3507E" w14:textId="77777777" w:rsidR="00E067F9" w:rsidRPr="00626B51" w:rsidRDefault="00E067F9" w:rsidP="002D6DE2">
            <w:pPr>
              <w:jc w:val="right"/>
              <w:rPr>
                <w:rFonts w:ascii="Arial" w:hAnsi="Arial" w:cs="Arial"/>
                <w:sz w:val="20"/>
              </w:rPr>
            </w:pPr>
            <w:r w:rsidRPr="00626B51">
              <w:rPr>
                <w:rFonts w:ascii="Arial" w:hAnsi="Arial" w:cs="Arial"/>
                <w:sz w:val="20"/>
              </w:rPr>
              <w:t>7</w:t>
            </w:r>
            <w:r w:rsidR="00ED394A" w:rsidRPr="00626B51">
              <w:rPr>
                <w:rFonts w:ascii="Arial" w:hAnsi="Arial" w:cs="Arial"/>
                <w:sz w:val="20"/>
              </w:rPr>
              <w:t>90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9B3507F" w14:textId="77777777" w:rsidR="00E067F9" w:rsidRPr="00626B51" w:rsidRDefault="0014060F" w:rsidP="002D6DE2">
            <w:pPr>
              <w:jc w:val="right"/>
              <w:rPr>
                <w:rFonts w:ascii="Arial" w:hAnsi="Arial" w:cs="Arial"/>
                <w:sz w:val="20"/>
              </w:rPr>
            </w:pPr>
            <w:r w:rsidRPr="00626B51">
              <w:rPr>
                <w:rFonts w:ascii="Arial" w:hAnsi="Arial" w:cs="Arial"/>
                <w:sz w:val="20"/>
              </w:rPr>
              <w:t>42</w:t>
            </w:r>
            <w:r w:rsidR="00E067F9" w:rsidRPr="00626B51">
              <w:rPr>
                <w:rFonts w:ascii="Arial" w:hAnsi="Arial" w:cs="Arial"/>
                <w:sz w:val="20"/>
              </w:rPr>
              <w:t>%</w:t>
            </w:r>
          </w:p>
        </w:tc>
        <w:tc>
          <w:tcPr>
            <w:tcW w:w="1559" w:type="dxa"/>
            <w:tcBorders>
              <w:top w:val="nil"/>
              <w:left w:val="nil"/>
              <w:bottom w:val="single" w:sz="8" w:space="0" w:color="auto"/>
              <w:right w:val="single" w:sz="8" w:space="0" w:color="auto"/>
            </w:tcBorders>
          </w:tcPr>
          <w:p w14:paraId="09B35080" w14:textId="77777777" w:rsidR="00E067F9" w:rsidRPr="00626B51" w:rsidRDefault="0043544D" w:rsidP="008471D1">
            <w:pPr>
              <w:ind w:right="260"/>
              <w:jc w:val="right"/>
              <w:rPr>
                <w:rFonts w:ascii="Arial" w:hAnsi="Arial" w:cs="Arial"/>
                <w:sz w:val="20"/>
              </w:rPr>
            </w:pPr>
            <w:r w:rsidRPr="00626B51">
              <w:rPr>
                <w:rFonts w:ascii="Arial" w:hAnsi="Arial" w:cs="Arial"/>
                <w:sz w:val="20"/>
              </w:rPr>
              <w:t>36,2</w:t>
            </w:r>
            <w:r w:rsidR="00E067F9" w:rsidRPr="00626B51">
              <w:rPr>
                <w:rFonts w:ascii="Arial" w:hAnsi="Arial" w:cs="Arial"/>
                <w:sz w:val="20"/>
              </w:rPr>
              <w:t>00</w:t>
            </w:r>
          </w:p>
        </w:tc>
      </w:tr>
      <w:tr w:rsidR="00E067F9" w:rsidRPr="00615819" w14:paraId="09B35088" w14:textId="77777777" w:rsidTr="002075E0">
        <w:trPr>
          <w:trHeight w:val="300"/>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35082" w14:textId="77777777" w:rsidR="00E067F9" w:rsidRPr="00F471F6" w:rsidRDefault="00E067F9" w:rsidP="002D6DE2">
            <w:pPr>
              <w:rPr>
                <w:rFonts w:ascii="Arial" w:hAnsi="Arial" w:cs="Arial"/>
                <w:sz w:val="20"/>
              </w:rPr>
            </w:pPr>
            <w:r w:rsidRPr="00F471F6">
              <w:rPr>
                <w:rFonts w:ascii="Arial" w:hAnsi="Arial" w:cs="Arial"/>
                <w:sz w:val="20"/>
              </w:rPr>
              <w:t>Mets</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9B35083" w14:textId="77777777" w:rsidR="00E067F9" w:rsidRPr="00F471F6" w:rsidRDefault="00E067F9" w:rsidP="002D6DE2">
            <w:pPr>
              <w:jc w:val="right"/>
              <w:rPr>
                <w:rFonts w:ascii="Arial" w:hAnsi="Arial" w:cs="Arial"/>
                <w:sz w:val="20"/>
              </w:rPr>
            </w:pPr>
            <w:r w:rsidRPr="00F471F6">
              <w:rPr>
                <w:rFonts w:ascii="Arial" w:hAnsi="Arial" w:cs="Arial"/>
                <w:sz w:val="20"/>
              </w:rPr>
              <w:t>2,605</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09B35084" w14:textId="77777777" w:rsidR="00E067F9" w:rsidRPr="00626B51" w:rsidRDefault="00E067F9" w:rsidP="002D6DE2">
            <w:pPr>
              <w:jc w:val="right"/>
              <w:rPr>
                <w:rFonts w:ascii="Arial" w:hAnsi="Arial" w:cs="Arial"/>
                <w:sz w:val="20"/>
              </w:rPr>
            </w:pPr>
            <w:r w:rsidRPr="00626B51">
              <w:rPr>
                <w:rFonts w:ascii="Arial" w:hAnsi="Arial" w:cs="Arial"/>
                <w:sz w:val="20"/>
              </w:rPr>
              <w:t>1,</w:t>
            </w:r>
            <w:r w:rsidR="00ED394A" w:rsidRPr="00626B51">
              <w:rPr>
                <w:rFonts w:ascii="Arial" w:hAnsi="Arial" w:cs="Arial"/>
                <w:sz w:val="20"/>
              </w:rPr>
              <w:t>689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9B35085" w14:textId="77777777" w:rsidR="00E067F9" w:rsidRPr="00626B51" w:rsidRDefault="00ED394A" w:rsidP="002D6DE2">
            <w:pPr>
              <w:jc w:val="right"/>
              <w:rPr>
                <w:rFonts w:ascii="Arial" w:hAnsi="Arial" w:cs="Arial"/>
                <w:sz w:val="20"/>
              </w:rPr>
            </w:pPr>
            <w:r w:rsidRPr="00626B51">
              <w:rPr>
                <w:rFonts w:ascii="Arial" w:hAnsi="Arial" w:cs="Arial"/>
                <w:sz w:val="20"/>
              </w:rPr>
              <w:t>916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9B35086" w14:textId="77777777" w:rsidR="00E067F9" w:rsidRPr="00626B51" w:rsidRDefault="0014060F" w:rsidP="002D6DE2">
            <w:pPr>
              <w:jc w:val="right"/>
              <w:rPr>
                <w:rFonts w:ascii="Arial" w:hAnsi="Arial" w:cs="Arial"/>
                <w:sz w:val="20"/>
              </w:rPr>
            </w:pPr>
            <w:r w:rsidRPr="00626B51">
              <w:rPr>
                <w:rFonts w:ascii="Arial" w:hAnsi="Arial" w:cs="Arial"/>
                <w:sz w:val="20"/>
              </w:rPr>
              <w:t>35</w:t>
            </w:r>
            <w:r w:rsidR="00E067F9" w:rsidRPr="00626B51">
              <w:rPr>
                <w:rFonts w:ascii="Arial" w:hAnsi="Arial" w:cs="Arial"/>
                <w:sz w:val="20"/>
              </w:rPr>
              <w:t>%</w:t>
            </w:r>
          </w:p>
        </w:tc>
        <w:tc>
          <w:tcPr>
            <w:tcW w:w="1559" w:type="dxa"/>
            <w:tcBorders>
              <w:top w:val="nil"/>
              <w:left w:val="nil"/>
              <w:bottom w:val="single" w:sz="8" w:space="0" w:color="auto"/>
              <w:right w:val="single" w:sz="8" w:space="0" w:color="auto"/>
            </w:tcBorders>
          </w:tcPr>
          <w:p w14:paraId="09B35087" w14:textId="77777777" w:rsidR="00E067F9" w:rsidRPr="00626B51" w:rsidRDefault="0043544D" w:rsidP="008471D1">
            <w:pPr>
              <w:ind w:right="260"/>
              <w:jc w:val="right"/>
              <w:rPr>
                <w:rFonts w:ascii="Arial" w:hAnsi="Arial" w:cs="Arial"/>
                <w:sz w:val="20"/>
              </w:rPr>
            </w:pPr>
            <w:r w:rsidRPr="00626B51">
              <w:rPr>
                <w:rFonts w:ascii="Arial" w:hAnsi="Arial" w:cs="Arial"/>
                <w:sz w:val="20"/>
              </w:rPr>
              <w:t>46,9</w:t>
            </w:r>
            <w:r w:rsidR="00E067F9" w:rsidRPr="00626B51">
              <w:rPr>
                <w:rFonts w:ascii="Arial" w:hAnsi="Arial" w:cs="Arial"/>
                <w:sz w:val="20"/>
              </w:rPr>
              <w:t>00</w:t>
            </w:r>
          </w:p>
        </w:tc>
      </w:tr>
      <w:tr w:rsidR="00E067F9" w:rsidRPr="00615819" w14:paraId="09B3508F" w14:textId="77777777" w:rsidTr="002075E0">
        <w:trPr>
          <w:trHeight w:val="300"/>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35089" w14:textId="77777777" w:rsidR="00E067F9" w:rsidRPr="00F471F6" w:rsidRDefault="00E067F9" w:rsidP="002D6DE2">
            <w:pPr>
              <w:rPr>
                <w:rFonts w:ascii="Arial" w:hAnsi="Arial" w:cs="Arial"/>
                <w:sz w:val="20"/>
              </w:rPr>
            </w:pPr>
            <w:r w:rsidRPr="00F471F6">
              <w:rPr>
                <w:rFonts w:ascii="Arial" w:hAnsi="Arial" w:cs="Arial"/>
                <w:sz w:val="20"/>
              </w:rPr>
              <w:t>Unitaries</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9B3508A" w14:textId="77777777" w:rsidR="00E067F9" w:rsidRPr="00F471F6" w:rsidRDefault="00E067F9" w:rsidP="002D6DE2">
            <w:pPr>
              <w:jc w:val="right"/>
              <w:rPr>
                <w:rFonts w:ascii="Arial" w:hAnsi="Arial" w:cs="Arial"/>
                <w:sz w:val="20"/>
              </w:rPr>
            </w:pPr>
            <w:r w:rsidRPr="00F471F6">
              <w:rPr>
                <w:rFonts w:ascii="Arial" w:hAnsi="Arial" w:cs="Arial"/>
                <w:sz w:val="20"/>
              </w:rPr>
              <w:t>3,147</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09B3508B" w14:textId="77777777" w:rsidR="00E067F9" w:rsidRPr="00626B51" w:rsidRDefault="00E067F9" w:rsidP="002D6DE2">
            <w:pPr>
              <w:jc w:val="right"/>
              <w:rPr>
                <w:rFonts w:ascii="Arial" w:hAnsi="Arial" w:cs="Arial"/>
                <w:sz w:val="20"/>
              </w:rPr>
            </w:pPr>
            <w:r w:rsidRPr="00626B51">
              <w:rPr>
                <w:rFonts w:ascii="Arial" w:hAnsi="Arial" w:cs="Arial"/>
                <w:sz w:val="20"/>
              </w:rPr>
              <w:t>2,23</w:t>
            </w:r>
            <w:r w:rsidR="00ED394A" w:rsidRPr="00626B51">
              <w:rPr>
                <w:rFonts w:ascii="Arial" w:hAnsi="Arial" w:cs="Arial"/>
                <w:sz w:val="20"/>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9B3508C" w14:textId="77777777" w:rsidR="00E067F9" w:rsidRPr="00626B51" w:rsidRDefault="00E067F9" w:rsidP="002D6DE2">
            <w:pPr>
              <w:jc w:val="right"/>
              <w:rPr>
                <w:rFonts w:ascii="Arial" w:hAnsi="Arial" w:cs="Arial"/>
                <w:sz w:val="20"/>
              </w:rPr>
            </w:pPr>
            <w:r w:rsidRPr="00626B51">
              <w:rPr>
                <w:rFonts w:ascii="Arial" w:hAnsi="Arial" w:cs="Arial"/>
                <w:sz w:val="20"/>
              </w:rPr>
              <w:t>91</w:t>
            </w:r>
            <w:r w:rsidR="0014060F" w:rsidRPr="00626B51">
              <w:rPr>
                <w:rFonts w:ascii="Arial" w:hAnsi="Arial" w:cs="Arial"/>
                <w:sz w:val="20"/>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9B3508D" w14:textId="77777777" w:rsidR="00E067F9" w:rsidRPr="00626B51" w:rsidRDefault="00E067F9" w:rsidP="002D6DE2">
            <w:pPr>
              <w:jc w:val="right"/>
              <w:rPr>
                <w:rFonts w:ascii="Arial" w:hAnsi="Arial" w:cs="Arial"/>
                <w:sz w:val="20"/>
              </w:rPr>
            </w:pPr>
            <w:r w:rsidRPr="00626B51">
              <w:rPr>
                <w:rFonts w:ascii="Arial" w:hAnsi="Arial" w:cs="Arial"/>
                <w:sz w:val="20"/>
              </w:rPr>
              <w:t>29%</w:t>
            </w:r>
          </w:p>
        </w:tc>
        <w:tc>
          <w:tcPr>
            <w:tcW w:w="1559" w:type="dxa"/>
            <w:tcBorders>
              <w:top w:val="nil"/>
              <w:left w:val="nil"/>
              <w:bottom w:val="single" w:sz="8" w:space="0" w:color="auto"/>
              <w:right w:val="single" w:sz="8" w:space="0" w:color="auto"/>
            </w:tcBorders>
          </w:tcPr>
          <w:p w14:paraId="09B3508E" w14:textId="77777777" w:rsidR="00E067F9" w:rsidRPr="00626B51" w:rsidRDefault="00E067F9" w:rsidP="008471D1">
            <w:pPr>
              <w:ind w:right="260"/>
              <w:jc w:val="right"/>
              <w:rPr>
                <w:rFonts w:ascii="Arial" w:hAnsi="Arial" w:cs="Arial"/>
                <w:sz w:val="20"/>
              </w:rPr>
            </w:pPr>
            <w:r w:rsidRPr="00626B51">
              <w:rPr>
                <w:rFonts w:ascii="Arial" w:hAnsi="Arial" w:cs="Arial"/>
                <w:sz w:val="20"/>
              </w:rPr>
              <w:t>39,800</w:t>
            </w:r>
          </w:p>
        </w:tc>
      </w:tr>
      <w:tr w:rsidR="00E067F9" w:rsidRPr="00615819" w14:paraId="09B35096" w14:textId="77777777" w:rsidTr="005E30A5">
        <w:trPr>
          <w:trHeight w:val="315"/>
        </w:trPr>
        <w:tc>
          <w:tcPr>
            <w:tcW w:w="2434" w:type="dxa"/>
            <w:tcBorders>
              <w:top w:val="nil"/>
              <w:left w:val="single" w:sz="8" w:space="0" w:color="auto"/>
              <w:bottom w:val="single" w:sz="8" w:space="0" w:color="auto"/>
              <w:right w:val="single" w:sz="8" w:space="0" w:color="auto"/>
            </w:tcBorders>
            <w:shd w:val="clear" w:color="auto" w:fill="DDD9C4"/>
            <w:tcMar>
              <w:top w:w="0" w:type="dxa"/>
              <w:left w:w="108" w:type="dxa"/>
              <w:bottom w:w="0" w:type="dxa"/>
              <w:right w:w="108" w:type="dxa"/>
            </w:tcMar>
            <w:hideMark/>
          </w:tcPr>
          <w:p w14:paraId="09B35090" w14:textId="77777777" w:rsidR="00E067F9" w:rsidRPr="00F471F6" w:rsidRDefault="00E067F9" w:rsidP="002D6DE2">
            <w:pPr>
              <w:rPr>
                <w:rFonts w:ascii="Arial" w:hAnsi="Arial" w:cs="Arial"/>
                <w:b/>
                <w:sz w:val="20"/>
              </w:rPr>
            </w:pPr>
            <w:r w:rsidRPr="00F471F6">
              <w:rPr>
                <w:rFonts w:ascii="Arial" w:hAnsi="Arial" w:cs="Arial"/>
                <w:b/>
                <w:sz w:val="20"/>
              </w:rPr>
              <w:t xml:space="preserve">Total </w:t>
            </w:r>
            <w:r>
              <w:rPr>
                <w:rFonts w:ascii="Arial" w:hAnsi="Arial" w:cs="Arial"/>
                <w:b/>
                <w:sz w:val="20"/>
              </w:rPr>
              <w:t xml:space="preserve">English </w:t>
            </w:r>
            <w:r w:rsidRPr="00F471F6">
              <w:rPr>
                <w:rFonts w:ascii="Arial" w:hAnsi="Arial" w:cs="Arial"/>
                <w:b/>
                <w:sz w:val="20"/>
              </w:rPr>
              <w:t>Councils</w:t>
            </w:r>
          </w:p>
        </w:tc>
        <w:tc>
          <w:tcPr>
            <w:tcW w:w="1420" w:type="dxa"/>
            <w:tcBorders>
              <w:top w:val="nil"/>
              <w:left w:val="nil"/>
              <w:bottom w:val="single" w:sz="8" w:space="0" w:color="auto"/>
              <w:right w:val="single" w:sz="8" w:space="0" w:color="auto"/>
            </w:tcBorders>
            <w:shd w:val="clear" w:color="auto" w:fill="DDD9C4"/>
            <w:tcMar>
              <w:top w:w="0" w:type="dxa"/>
              <w:left w:w="108" w:type="dxa"/>
              <w:bottom w:w="0" w:type="dxa"/>
              <w:right w:w="108" w:type="dxa"/>
            </w:tcMar>
            <w:hideMark/>
          </w:tcPr>
          <w:p w14:paraId="09B35091" w14:textId="77777777" w:rsidR="00E067F9" w:rsidRPr="00F471F6" w:rsidRDefault="00E067F9" w:rsidP="002D6DE2">
            <w:pPr>
              <w:jc w:val="right"/>
              <w:rPr>
                <w:rFonts w:ascii="Arial" w:hAnsi="Arial" w:cs="Arial"/>
                <w:b/>
                <w:sz w:val="20"/>
              </w:rPr>
            </w:pPr>
            <w:r w:rsidRPr="00F471F6">
              <w:rPr>
                <w:rFonts w:ascii="Arial" w:hAnsi="Arial" w:cs="Arial"/>
                <w:b/>
                <w:sz w:val="20"/>
              </w:rPr>
              <w:t>12,847</w:t>
            </w:r>
          </w:p>
        </w:tc>
        <w:tc>
          <w:tcPr>
            <w:tcW w:w="1415" w:type="dxa"/>
            <w:tcBorders>
              <w:top w:val="nil"/>
              <w:left w:val="nil"/>
              <w:bottom w:val="single" w:sz="8" w:space="0" w:color="auto"/>
              <w:right w:val="single" w:sz="8" w:space="0" w:color="auto"/>
            </w:tcBorders>
            <w:shd w:val="clear" w:color="auto" w:fill="DDD9C4"/>
            <w:tcMar>
              <w:top w:w="0" w:type="dxa"/>
              <w:left w:w="108" w:type="dxa"/>
              <w:bottom w:w="0" w:type="dxa"/>
              <w:right w:w="108" w:type="dxa"/>
            </w:tcMar>
            <w:hideMark/>
          </w:tcPr>
          <w:p w14:paraId="09B35092" w14:textId="77777777" w:rsidR="006C1300" w:rsidRPr="00626B51" w:rsidRDefault="00E067F9" w:rsidP="0014060F">
            <w:pPr>
              <w:jc w:val="right"/>
              <w:rPr>
                <w:rFonts w:ascii="Arial" w:hAnsi="Arial" w:cs="Arial"/>
                <w:b/>
                <w:sz w:val="20"/>
              </w:rPr>
            </w:pPr>
            <w:r w:rsidRPr="00626B51">
              <w:rPr>
                <w:rFonts w:ascii="Arial" w:hAnsi="Arial" w:cs="Arial"/>
                <w:b/>
                <w:sz w:val="20"/>
              </w:rPr>
              <w:t>8,</w:t>
            </w:r>
            <w:r w:rsidR="0014060F" w:rsidRPr="00626B51">
              <w:rPr>
                <w:rFonts w:ascii="Arial" w:hAnsi="Arial" w:cs="Arial"/>
                <w:b/>
                <w:sz w:val="20"/>
              </w:rPr>
              <w:t>792</w:t>
            </w:r>
          </w:p>
        </w:tc>
        <w:tc>
          <w:tcPr>
            <w:tcW w:w="1417" w:type="dxa"/>
            <w:tcBorders>
              <w:top w:val="nil"/>
              <w:left w:val="nil"/>
              <w:bottom w:val="single" w:sz="8" w:space="0" w:color="auto"/>
              <w:right w:val="single" w:sz="8" w:space="0" w:color="auto"/>
            </w:tcBorders>
            <w:shd w:val="clear" w:color="auto" w:fill="DDD9C4"/>
            <w:tcMar>
              <w:top w:w="0" w:type="dxa"/>
              <w:left w:w="108" w:type="dxa"/>
              <w:bottom w:w="0" w:type="dxa"/>
              <w:right w:w="108" w:type="dxa"/>
            </w:tcMar>
            <w:hideMark/>
          </w:tcPr>
          <w:p w14:paraId="09B35093" w14:textId="77777777" w:rsidR="0014060F" w:rsidRPr="00626B51" w:rsidRDefault="0014060F" w:rsidP="0014060F">
            <w:pPr>
              <w:jc w:val="right"/>
              <w:rPr>
                <w:rFonts w:ascii="Arial" w:hAnsi="Arial" w:cs="Arial"/>
                <w:b/>
                <w:sz w:val="20"/>
              </w:rPr>
            </w:pPr>
            <w:r w:rsidRPr="00626B51">
              <w:rPr>
                <w:rFonts w:ascii="Arial" w:hAnsi="Arial" w:cs="Arial"/>
                <w:b/>
                <w:sz w:val="20"/>
              </w:rPr>
              <w:t>4,055</w:t>
            </w:r>
          </w:p>
        </w:tc>
        <w:tc>
          <w:tcPr>
            <w:tcW w:w="1276" w:type="dxa"/>
            <w:tcBorders>
              <w:top w:val="nil"/>
              <w:left w:val="nil"/>
              <w:bottom w:val="single" w:sz="8" w:space="0" w:color="auto"/>
              <w:right w:val="single" w:sz="8" w:space="0" w:color="auto"/>
            </w:tcBorders>
            <w:shd w:val="clear" w:color="auto" w:fill="DDD9C4"/>
            <w:tcMar>
              <w:top w:w="0" w:type="dxa"/>
              <w:left w:w="108" w:type="dxa"/>
              <w:bottom w:w="0" w:type="dxa"/>
              <w:right w:w="108" w:type="dxa"/>
            </w:tcMar>
            <w:hideMark/>
          </w:tcPr>
          <w:p w14:paraId="09B35094" w14:textId="77777777" w:rsidR="00E067F9" w:rsidRPr="00626B51" w:rsidRDefault="0014060F" w:rsidP="0014060F">
            <w:pPr>
              <w:jc w:val="right"/>
              <w:rPr>
                <w:rFonts w:ascii="Arial" w:hAnsi="Arial" w:cs="Arial"/>
                <w:b/>
                <w:sz w:val="20"/>
              </w:rPr>
            </w:pPr>
            <w:r w:rsidRPr="00626B51">
              <w:rPr>
                <w:rFonts w:ascii="Arial" w:hAnsi="Arial" w:cs="Arial"/>
                <w:b/>
                <w:sz w:val="20"/>
              </w:rPr>
              <w:t>32</w:t>
            </w:r>
            <w:r w:rsidR="00E067F9" w:rsidRPr="00626B51">
              <w:rPr>
                <w:rFonts w:ascii="Arial" w:hAnsi="Arial" w:cs="Arial"/>
                <w:b/>
                <w:sz w:val="20"/>
              </w:rPr>
              <w:t>%</w:t>
            </w:r>
          </w:p>
        </w:tc>
        <w:tc>
          <w:tcPr>
            <w:tcW w:w="1559" w:type="dxa"/>
            <w:tcBorders>
              <w:top w:val="nil"/>
              <w:left w:val="nil"/>
              <w:bottom w:val="single" w:sz="8" w:space="0" w:color="auto"/>
              <w:right w:val="single" w:sz="8" w:space="0" w:color="auto"/>
            </w:tcBorders>
            <w:shd w:val="clear" w:color="auto" w:fill="DDD9C4"/>
          </w:tcPr>
          <w:p w14:paraId="09B35095" w14:textId="77777777" w:rsidR="00E067F9" w:rsidRPr="00626B51" w:rsidRDefault="0043544D" w:rsidP="008471D1">
            <w:pPr>
              <w:ind w:right="260"/>
              <w:jc w:val="right"/>
              <w:rPr>
                <w:rFonts w:ascii="Arial" w:hAnsi="Arial" w:cs="Arial"/>
                <w:b/>
                <w:sz w:val="20"/>
              </w:rPr>
            </w:pPr>
            <w:r w:rsidRPr="00626B51">
              <w:rPr>
                <w:rFonts w:ascii="Arial" w:hAnsi="Arial" w:cs="Arial"/>
                <w:b/>
                <w:sz w:val="20"/>
              </w:rPr>
              <w:t>25,8</w:t>
            </w:r>
            <w:r w:rsidR="00E067F9" w:rsidRPr="00626B51">
              <w:rPr>
                <w:rFonts w:ascii="Arial" w:hAnsi="Arial" w:cs="Arial"/>
                <w:b/>
                <w:sz w:val="20"/>
              </w:rPr>
              <w:t>00</w:t>
            </w:r>
          </w:p>
        </w:tc>
      </w:tr>
      <w:tr w:rsidR="005E30A5" w:rsidRPr="00615819" w14:paraId="09B3509D" w14:textId="77777777" w:rsidTr="005E30A5">
        <w:trPr>
          <w:trHeight w:val="300"/>
        </w:trPr>
        <w:tc>
          <w:tcPr>
            <w:tcW w:w="24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9B35097" w14:textId="77777777" w:rsidR="005E30A5" w:rsidRPr="00F471F6" w:rsidRDefault="005E30A5" w:rsidP="005E30A5">
            <w:pPr>
              <w:rPr>
                <w:rFonts w:ascii="Arial" w:hAnsi="Arial" w:cs="Arial"/>
                <w:sz w:val="20"/>
              </w:rPr>
            </w:pPr>
            <w:r>
              <w:rPr>
                <w:rFonts w:ascii="Arial" w:hAnsi="Arial" w:cs="Arial"/>
                <w:sz w:val="20"/>
              </w:rPr>
              <w:t>Welsh LGA</w:t>
            </w:r>
          </w:p>
        </w:tc>
        <w:tc>
          <w:tcPr>
            <w:tcW w:w="142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9B35098" w14:textId="77777777" w:rsidR="005E30A5" w:rsidRPr="00F471F6" w:rsidRDefault="005E30A5" w:rsidP="005E30A5">
            <w:pPr>
              <w:jc w:val="right"/>
              <w:rPr>
                <w:rFonts w:ascii="Arial" w:hAnsi="Arial" w:cs="Arial"/>
                <w:sz w:val="20"/>
              </w:rPr>
            </w:pPr>
            <w:r w:rsidRPr="00F471F6">
              <w:rPr>
                <w:rFonts w:ascii="Arial" w:hAnsi="Arial" w:cs="Arial"/>
                <w:sz w:val="20"/>
              </w:rPr>
              <w:t>337</w:t>
            </w:r>
          </w:p>
        </w:tc>
        <w:tc>
          <w:tcPr>
            <w:tcW w:w="141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9B35099" w14:textId="77777777" w:rsidR="0043544D" w:rsidRPr="00626B51" w:rsidRDefault="005E30A5" w:rsidP="0043544D">
            <w:pPr>
              <w:jc w:val="right"/>
              <w:rPr>
                <w:rFonts w:ascii="Arial" w:hAnsi="Arial" w:cs="Arial"/>
                <w:sz w:val="20"/>
              </w:rPr>
            </w:pPr>
            <w:r w:rsidRPr="00626B51">
              <w:rPr>
                <w:rFonts w:ascii="Arial" w:hAnsi="Arial" w:cs="Arial"/>
                <w:sz w:val="20"/>
              </w:rPr>
              <w:t>2</w:t>
            </w:r>
            <w:r w:rsidR="0014060F" w:rsidRPr="00626B51">
              <w:rPr>
                <w:rFonts w:ascii="Arial" w:hAnsi="Arial" w:cs="Arial"/>
                <w:sz w:val="20"/>
              </w:rPr>
              <w:t>2</w:t>
            </w:r>
            <w:r w:rsidR="0043544D" w:rsidRPr="00626B51">
              <w:rPr>
                <w:rFonts w:ascii="Arial" w:hAnsi="Arial" w:cs="Arial"/>
                <w:sz w:val="20"/>
              </w:rPr>
              <w:t>2</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9B3509A" w14:textId="77777777" w:rsidR="005E30A5" w:rsidRPr="00626B51" w:rsidRDefault="005E30A5" w:rsidP="005E30A5">
            <w:pPr>
              <w:jc w:val="right"/>
              <w:rPr>
                <w:rFonts w:ascii="Arial" w:hAnsi="Arial" w:cs="Arial"/>
                <w:sz w:val="20"/>
              </w:rPr>
            </w:pPr>
            <w:r w:rsidRPr="00626B51">
              <w:rPr>
                <w:rFonts w:ascii="Arial" w:hAnsi="Arial" w:cs="Arial"/>
                <w:sz w:val="20"/>
              </w:rPr>
              <w:t>1</w:t>
            </w:r>
            <w:r w:rsidR="0014060F" w:rsidRPr="00626B51">
              <w:rPr>
                <w:rFonts w:ascii="Arial" w:hAnsi="Arial" w:cs="Arial"/>
                <w:sz w:val="20"/>
              </w:rPr>
              <w:t>15</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9B3509B" w14:textId="77777777" w:rsidR="005E30A5" w:rsidRPr="00626B51" w:rsidRDefault="0014060F" w:rsidP="005E30A5">
            <w:pPr>
              <w:jc w:val="right"/>
              <w:rPr>
                <w:rFonts w:ascii="Arial" w:hAnsi="Arial" w:cs="Arial"/>
                <w:sz w:val="20"/>
              </w:rPr>
            </w:pPr>
            <w:r w:rsidRPr="00626B51">
              <w:rPr>
                <w:rFonts w:ascii="Arial" w:hAnsi="Arial" w:cs="Arial"/>
                <w:sz w:val="20"/>
              </w:rPr>
              <w:t>34</w:t>
            </w:r>
            <w:r w:rsidR="005E30A5" w:rsidRPr="00626B51">
              <w:rPr>
                <w:rFonts w:ascii="Arial" w:hAnsi="Arial" w:cs="Arial"/>
                <w:sz w:val="20"/>
              </w:rPr>
              <w:t>%</w:t>
            </w:r>
          </w:p>
        </w:tc>
        <w:tc>
          <w:tcPr>
            <w:tcW w:w="1559" w:type="dxa"/>
            <w:tcBorders>
              <w:top w:val="single" w:sz="8" w:space="0" w:color="auto"/>
              <w:left w:val="nil"/>
              <w:bottom w:val="single" w:sz="4" w:space="0" w:color="auto"/>
              <w:right w:val="single" w:sz="8" w:space="0" w:color="auto"/>
            </w:tcBorders>
          </w:tcPr>
          <w:p w14:paraId="09B3509C" w14:textId="77777777" w:rsidR="005E30A5" w:rsidRPr="00626B51" w:rsidRDefault="0043544D" w:rsidP="005E30A5">
            <w:pPr>
              <w:ind w:right="260"/>
              <w:jc w:val="right"/>
              <w:rPr>
                <w:rFonts w:ascii="Arial" w:hAnsi="Arial" w:cs="Arial"/>
                <w:sz w:val="20"/>
              </w:rPr>
            </w:pPr>
            <w:r w:rsidRPr="00626B51">
              <w:rPr>
                <w:rFonts w:ascii="Arial" w:hAnsi="Arial" w:cs="Arial"/>
                <w:sz w:val="20"/>
              </w:rPr>
              <w:t>221,8</w:t>
            </w:r>
            <w:r w:rsidR="005E30A5" w:rsidRPr="00626B51">
              <w:rPr>
                <w:rFonts w:ascii="Arial" w:hAnsi="Arial" w:cs="Arial"/>
                <w:sz w:val="20"/>
              </w:rPr>
              <w:t>00</w:t>
            </w:r>
          </w:p>
        </w:tc>
      </w:tr>
      <w:tr w:rsidR="00E067F9" w:rsidRPr="00615819" w14:paraId="09B350A4" w14:textId="77777777" w:rsidTr="005E30A5">
        <w:trPr>
          <w:trHeight w:val="315"/>
        </w:trPr>
        <w:tc>
          <w:tcPr>
            <w:tcW w:w="24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9B3509E" w14:textId="77777777" w:rsidR="00E067F9" w:rsidRPr="00F471F6" w:rsidRDefault="00F12660" w:rsidP="002D6DE2">
            <w:pPr>
              <w:rPr>
                <w:rFonts w:ascii="Arial" w:hAnsi="Arial" w:cs="Arial"/>
                <w:sz w:val="20"/>
              </w:rPr>
            </w:pPr>
            <w:r>
              <w:rPr>
                <w:rFonts w:ascii="Arial" w:hAnsi="Arial" w:cs="Arial"/>
                <w:sz w:val="20"/>
              </w:rPr>
              <w:t>Associate members</w:t>
            </w:r>
          </w:p>
        </w:tc>
        <w:tc>
          <w:tcPr>
            <w:tcW w:w="1420" w:type="dxa"/>
            <w:tcBorders>
              <w:top w:val="single" w:sz="4" w:space="0" w:color="auto"/>
              <w:left w:val="nil"/>
              <w:bottom w:val="nil"/>
              <w:right w:val="single" w:sz="8" w:space="0" w:color="auto"/>
            </w:tcBorders>
            <w:tcMar>
              <w:top w:w="0" w:type="dxa"/>
              <w:left w:w="108" w:type="dxa"/>
              <w:bottom w:w="0" w:type="dxa"/>
              <w:right w:w="108" w:type="dxa"/>
            </w:tcMar>
          </w:tcPr>
          <w:p w14:paraId="09B3509F" w14:textId="77777777" w:rsidR="00E067F9" w:rsidRPr="00F471F6" w:rsidRDefault="00F12660" w:rsidP="002D6DE2">
            <w:pPr>
              <w:jc w:val="right"/>
              <w:rPr>
                <w:rFonts w:ascii="Arial" w:hAnsi="Arial" w:cs="Arial"/>
                <w:sz w:val="20"/>
              </w:rPr>
            </w:pPr>
            <w:r w:rsidRPr="00F471F6">
              <w:rPr>
                <w:rFonts w:ascii="Arial" w:hAnsi="Arial" w:cs="Arial"/>
                <w:sz w:val="20"/>
              </w:rPr>
              <w:t>845</w:t>
            </w:r>
          </w:p>
        </w:tc>
        <w:tc>
          <w:tcPr>
            <w:tcW w:w="1415" w:type="dxa"/>
            <w:tcBorders>
              <w:top w:val="single" w:sz="4" w:space="0" w:color="auto"/>
              <w:left w:val="nil"/>
              <w:bottom w:val="nil"/>
              <w:right w:val="single" w:sz="8" w:space="0" w:color="auto"/>
            </w:tcBorders>
            <w:tcMar>
              <w:top w:w="0" w:type="dxa"/>
              <w:left w:w="108" w:type="dxa"/>
              <w:bottom w:w="0" w:type="dxa"/>
              <w:right w:w="108" w:type="dxa"/>
            </w:tcMar>
          </w:tcPr>
          <w:p w14:paraId="09B350A0" w14:textId="77777777" w:rsidR="00E067F9" w:rsidRPr="00626B51" w:rsidRDefault="00ED394A" w:rsidP="002075E0">
            <w:pPr>
              <w:jc w:val="right"/>
              <w:rPr>
                <w:rFonts w:ascii="Arial" w:hAnsi="Arial" w:cs="Arial"/>
                <w:sz w:val="20"/>
              </w:rPr>
            </w:pPr>
            <w:r w:rsidRPr="00626B51">
              <w:rPr>
                <w:rFonts w:ascii="Arial" w:hAnsi="Arial" w:cs="Arial"/>
                <w:sz w:val="20"/>
              </w:rPr>
              <w:t>335</w:t>
            </w:r>
          </w:p>
        </w:tc>
        <w:tc>
          <w:tcPr>
            <w:tcW w:w="1417" w:type="dxa"/>
            <w:tcBorders>
              <w:top w:val="single" w:sz="4" w:space="0" w:color="auto"/>
              <w:left w:val="nil"/>
              <w:bottom w:val="nil"/>
              <w:right w:val="single" w:sz="8" w:space="0" w:color="auto"/>
            </w:tcBorders>
            <w:tcMar>
              <w:top w:w="0" w:type="dxa"/>
              <w:left w:w="108" w:type="dxa"/>
              <w:bottom w:w="0" w:type="dxa"/>
              <w:right w:w="108" w:type="dxa"/>
            </w:tcMar>
          </w:tcPr>
          <w:p w14:paraId="09B350A1" w14:textId="77777777" w:rsidR="00E067F9" w:rsidRPr="00626B51" w:rsidRDefault="0014060F" w:rsidP="002075E0">
            <w:pPr>
              <w:jc w:val="right"/>
              <w:rPr>
                <w:rFonts w:ascii="Arial" w:hAnsi="Arial" w:cs="Arial"/>
                <w:sz w:val="20"/>
              </w:rPr>
            </w:pPr>
            <w:r w:rsidRPr="00626B51">
              <w:rPr>
                <w:rFonts w:ascii="Arial" w:hAnsi="Arial" w:cs="Arial"/>
                <w:sz w:val="20"/>
              </w:rPr>
              <w:t>510</w:t>
            </w:r>
          </w:p>
        </w:tc>
        <w:tc>
          <w:tcPr>
            <w:tcW w:w="1276" w:type="dxa"/>
            <w:tcBorders>
              <w:top w:val="single" w:sz="4" w:space="0" w:color="auto"/>
              <w:left w:val="nil"/>
              <w:bottom w:val="nil"/>
              <w:right w:val="single" w:sz="8" w:space="0" w:color="auto"/>
            </w:tcBorders>
            <w:tcMar>
              <w:top w:w="0" w:type="dxa"/>
              <w:left w:w="108" w:type="dxa"/>
              <w:bottom w:w="0" w:type="dxa"/>
              <w:right w:w="108" w:type="dxa"/>
            </w:tcMar>
          </w:tcPr>
          <w:p w14:paraId="09B350A2" w14:textId="77777777" w:rsidR="00E067F9" w:rsidRPr="00626B51" w:rsidRDefault="0014060F" w:rsidP="002D6DE2">
            <w:pPr>
              <w:jc w:val="right"/>
              <w:rPr>
                <w:rFonts w:ascii="Arial" w:hAnsi="Arial" w:cs="Arial"/>
                <w:sz w:val="20"/>
              </w:rPr>
            </w:pPr>
            <w:r w:rsidRPr="00626B51">
              <w:rPr>
                <w:rFonts w:ascii="Arial" w:hAnsi="Arial" w:cs="Arial"/>
                <w:sz w:val="20"/>
              </w:rPr>
              <w:t>60%</w:t>
            </w:r>
          </w:p>
        </w:tc>
        <w:tc>
          <w:tcPr>
            <w:tcW w:w="1559" w:type="dxa"/>
            <w:tcBorders>
              <w:top w:val="single" w:sz="4" w:space="0" w:color="auto"/>
              <w:left w:val="nil"/>
              <w:bottom w:val="nil"/>
              <w:right w:val="single" w:sz="8" w:space="0" w:color="auto"/>
            </w:tcBorders>
          </w:tcPr>
          <w:p w14:paraId="09B350A3" w14:textId="77777777" w:rsidR="00E067F9" w:rsidRPr="00626B51" w:rsidRDefault="0043544D" w:rsidP="008471D1">
            <w:pPr>
              <w:ind w:right="260"/>
              <w:jc w:val="right"/>
              <w:rPr>
                <w:rFonts w:ascii="Arial" w:hAnsi="Arial" w:cs="Arial"/>
                <w:sz w:val="20"/>
              </w:rPr>
            </w:pPr>
            <w:r w:rsidRPr="00626B51">
              <w:rPr>
                <w:rFonts w:ascii="Arial" w:hAnsi="Arial" w:cs="Arial"/>
                <w:sz w:val="20"/>
              </w:rPr>
              <w:t>8,000</w:t>
            </w:r>
          </w:p>
        </w:tc>
      </w:tr>
      <w:tr w:rsidR="00DF4407" w:rsidRPr="00E270E0" w14:paraId="09B350AB" w14:textId="77777777" w:rsidTr="002075E0">
        <w:trPr>
          <w:trHeight w:val="330"/>
        </w:trPr>
        <w:tc>
          <w:tcPr>
            <w:tcW w:w="2434" w:type="dxa"/>
            <w:tcBorders>
              <w:top w:val="nil"/>
              <w:left w:val="single" w:sz="8" w:space="0" w:color="auto"/>
              <w:bottom w:val="single" w:sz="8" w:space="0" w:color="auto"/>
              <w:right w:val="nil"/>
            </w:tcBorders>
            <w:shd w:val="clear" w:color="auto" w:fill="DDD9C4"/>
            <w:tcMar>
              <w:top w:w="0" w:type="dxa"/>
              <w:left w:w="108" w:type="dxa"/>
              <w:bottom w:w="0" w:type="dxa"/>
              <w:right w:w="108" w:type="dxa"/>
            </w:tcMar>
            <w:hideMark/>
          </w:tcPr>
          <w:p w14:paraId="09B350A5" w14:textId="77777777" w:rsidR="00E067F9" w:rsidRPr="00F471F6" w:rsidRDefault="00E067F9" w:rsidP="002D6DE2">
            <w:pPr>
              <w:rPr>
                <w:rFonts w:ascii="Arial" w:hAnsi="Arial" w:cs="Arial"/>
                <w:b/>
                <w:sz w:val="20"/>
              </w:rPr>
            </w:pPr>
            <w:r w:rsidRPr="00F471F6">
              <w:rPr>
                <w:rFonts w:ascii="Arial" w:hAnsi="Arial" w:cs="Arial"/>
                <w:b/>
                <w:sz w:val="20"/>
              </w:rPr>
              <w:t>All Authorities</w:t>
            </w:r>
          </w:p>
        </w:tc>
        <w:tc>
          <w:tcPr>
            <w:tcW w:w="1420" w:type="dxa"/>
            <w:tcBorders>
              <w:top w:val="single" w:sz="8" w:space="0" w:color="auto"/>
              <w:left w:val="single" w:sz="8" w:space="0" w:color="auto"/>
              <w:bottom w:val="single" w:sz="8" w:space="0" w:color="auto"/>
              <w:right w:val="single" w:sz="8" w:space="0" w:color="auto"/>
            </w:tcBorders>
            <w:shd w:val="clear" w:color="auto" w:fill="DDD9C4"/>
            <w:tcMar>
              <w:top w:w="0" w:type="dxa"/>
              <w:left w:w="108" w:type="dxa"/>
              <w:bottom w:w="0" w:type="dxa"/>
              <w:right w:w="108" w:type="dxa"/>
            </w:tcMar>
            <w:hideMark/>
          </w:tcPr>
          <w:p w14:paraId="09B350A6" w14:textId="77777777" w:rsidR="00E067F9" w:rsidRPr="00F471F6" w:rsidRDefault="00E067F9" w:rsidP="002D6DE2">
            <w:pPr>
              <w:jc w:val="right"/>
              <w:rPr>
                <w:rFonts w:ascii="Arial" w:hAnsi="Arial" w:cs="Arial"/>
                <w:b/>
                <w:sz w:val="20"/>
              </w:rPr>
            </w:pPr>
            <w:r w:rsidRPr="00F471F6">
              <w:rPr>
                <w:rFonts w:ascii="Arial" w:hAnsi="Arial" w:cs="Arial"/>
                <w:b/>
                <w:sz w:val="20"/>
              </w:rPr>
              <w:t>14,029</w:t>
            </w:r>
          </w:p>
        </w:tc>
        <w:tc>
          <w:tcPr>
            <w:tcW w:w="1415"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14:paraId="09B350A7" w14:textId="77777777" w:rsidR="00E067F9" w:rsidRPr="00626B51" w:rsidRDefault="00E067F9" w:rsidP="0014060F">
            <w:pPr>
              <w:jc w:val="right"/>
              <w:rPr>
                <w:rFonts w:ascii="Arial" w:hAnsi="Arial" w:cs="Arial"/>
                <w:b/>
                <w:sz w:val="20"/>
              </w:rPr>
            </w:pPr>
            <w:r w:rsidRPr="00626B51">
              <w:rPr>
                <w:rFonts w:ascii="Arial" w:hAnsi="Arial" w:cs="Arial"/>
                <w:b/>
                <w:sz w:val="20"/>
              </w:rPr>
              <w:t>9,</w:t>
            </w:r>
            <w:r w:rsidR="0014060F" w:rsidRPr="00626B51">
              <w:rPr>
                <w:rFonts w:ascii="Arial" w:hAnsi="Arial" w:cs="Arial"/>
                <w:b/>
                <w:sz w:val="20"/>
              </w:rPr>
              <w:t>349</w:t>
            </w:r>
          </w:p>
        </w:tc>
        <w:tc>
          <w:tcPr>
            <w:tcW w:w="1417"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14:paraId="09B350A8" w14:textId="77777777" w:rsidR="0014060F" w:rsidRPr="00626B51" w:rsidRDefault="00E067F9" w:rsidP="0014060F">
            <w:pPr>
              <w:jc w:val="right"/>
              <w:rPr>
                <w:rFonts w:ascii="Arial" w:hAnsi="Arial" w:cs="Arial"/>
                <w:b/>
                <w:sz w:val="20"/>
              </w:rPr>
            </w:pPr>
            <w:r w:rsidRPr="00626B51">
              <w:rPr>
                <w:rFonts w:ascii="Arial" w:hAnsi="Arial" w:cs="Arial"/>
                <w:b/>
                <w:sz w:val="20"/>
              </w:rPr>
              <w:t>4,</w:t>
            </w:r>
            <w:r w:rsidR="002075E0" w:rsidRPr="00626B51">
              <w:rPr>
                <w:rFonts w:ascii="Arial" w:hAnsi="Arial" w:cs="Arial"/>
                <w:b/>
                <w:sz w:val="20"/>
              </w:rPr>
              <w:t>6</w:t>
            </w:r>
            <w:r w:rsidR="0014060F" w:rsidRPr="00626B51">
              <w:rPr>
                <w:rFonts w:ascii="Arial" w:hAnsi="Arial" w:cs="Arial"/>
                <w:b/>
                <w:sz w:val="20"/>
              </w:rPr>
              <w:t>80</w:t>
            </w:r>
          </w:p>
        </w:tc>
        <w:tc>
          <w:tcPr>
            <w:tcW w:w="1276"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14:paraId="09B350A9" w14:textId="77777777" w:rsidR="00E067F9" w:rsidRPr="00626B51" w:rsidRDefault="00E067F9" w:rsidP="002D6DE2">
            <w:pPr>
              <w:jc w:val="right"/>
              <w:rPr>
                <w:rFonts w:ascii="Arial" w:hAnsi="Arial" w:cs="Arial"/>
                <w:b/>
                <w:sz w:val="20"/>
              </w:rPr>
            </w:pPr>
            <w:r w:rsidRPr="00626B51">
              <w:rPr>
                <w:rFonts w:ascii="Arial" w:hAnsi="Arial" w:cs="Arial"/>
                <w:b/>
                <w:sz w:val="20"/>
              </w:rPr>
              <w:t>33%</w:t>
            </w:r>
          </w:p>
        </w:tc>
        <w:tc>
          <w:tcPr>
            <w:tcW w:w="1559" w:type="dxa"/>
            <w:tcBorders>
              <w:top w:val="single" w:sz="8" w:space="0" w:color="auto"/>
              <w:left w:val="nil"/>
              <w:bottom w:val="single" w:sz="8" w:space="0" w:color="auto"/>
              <w:right w:val="single" w:sz="8" w:space="0" w:color="auto"/>
            </w:tcBorders>
            <w:shd w:val="clear" w:color="auto" w:fill="DDD9C4"/>
          </w:tcPr>
          <w:p w14:paraId="09B350AA" w14:textId="77777777" w:rsidR="00E067F9" w:rsidRPr="00626B51" w:rsidRDefault="0043544D" w:rsidP="008471D1">
            <w:pPr>
              <w:ind w:right="260"/>
              <w:jc w:val="right"/>
              <w:rPr>
                <w:rFonts w:ascii="Arial" w:hAnsi="Arial" w:cs="Arial"/>
                <w:b/>
                <w:sz w:val="20"/>
              </w:rPr>
            </w:pPr>
            <w:r w:rsidRPr="00626B51">
              <w:rPr>
                <w:rFonts w:ascii="Arial" w:hAnsi="Arial" w:cs="Arial"/>
                <w:b/>
                <w:sz w:val="20"/>
              </w:rPr>
              <w:t>23,9</w:t>
            </w:r>
            <w:r w:rsidR="00E067F9" w:rsidRPr="00626B51">
              <w:rPr>
                <w:rFonts w:ascii="Arial" w:hAnsi="Arial" w:cs="Arial"/>
                <w:b/>
                <w:sz w:val="20"/>
              </w:rPr>
              <w:t>00</w:t>
            </w:r>
          </w:p>
        </w:tc>
      </w:tr>
    </w:tbl>
    <w:p w14:paraId="09B350AC" w14:textId="77777777" w:rsidR="00F26674" w:rsidRDefault="00F26674" w:rsidP="00F26674">
      <w:pPr>
        <w:ind w:left="360"/>
        <w:rPr>
          <w:rFonts w:ascii="Arial" w:hAnsi="Arial" w:cs="Arial"/>
          <w:szCs w:val="22"/>
        </w:rPr>
      </w:pPr>
    </w:p>
    <w:p w14:paraId="09B350AD" w14:textId="77777777" w:rsidR="00F26674" w:rsidRDefault="00A413B0" w:rsidP="00D70565">
      <w:pPr>
        <w:numPr>
          <w:ilvl w:val="0"/>
          <w:numId w:val="1"/>
        </w:numPr>
        <w:rPr>
          <w:rFonts w:ascii="Arial" w:hAnsi="Arial" w:cs="Arial"/>
          <w:szCs w:val="22"/>
        </w:rPr>
      </w:pPr>
      <w:r w:rsidRPr="00A413B0">
        <w:rPr>
          <w:rFonts w:ascii="Arial" w:hAnsi="Arial" w:cs="Arial"/>
          <w:szCs w:val="22"/>
        </w:rPr>
        <w:t>From April 2019, new local authorities will come into effect in Dorset, Somerset and Suffolk. The collective impact of these reorganisations will be a reduction of £</w:t>
      </w:r>
      <w:r w:rsidR="0043544D">
        <w:rPr>
          <w:rFonts w:ascii="Arial" w:hAnsi="Arial" w:cs="Arial"/>
          <w:szCs w:val="22"/>
        </w:rPr>
        <w:t>22,265 (assuming the application of relevant discounts)</w:t>
      </w:r>
      <w:r w:rsidRPr="00A413B0">
        <w:rPr>
          <w:rFonts w:ascii="Arial" w:hAnsi="Arial" w:cs="Arial"/>
          <w:szCs w:val="22"/>
        </w:rPr>
        <w:t>.</w:t>
      </w:r>
    </w:p>
    <w:p w14:paraId="09B350AE" w14:textId="77777777" w:rsidR="002F1B2F" w:rsidRPr="00A413B0" w:rsidRDefault="002F1B2F" w:rsidP="002F1B2F">
      <w:pPr>
        <w:ind w:left="360"/>
        <w:rPr>
          <w:rFonts w:ascii="Arial" w:hAnsi="Arial" w:cs="Arial"/>
          <w:szCs w:val="22"/>
        </w:rPr>
      </w:pPr>
    </w:p>
    <w:p w14:paraId="09B350AF" w14:textId="77777777" w:rsidR="00F26674" w:rsidRPr="005E30A5" w:rsidRDefault="002F1B2F" w:rsidP="00FA2967">
      <w:pPr>
        <w:numPr>
          <w:ilvl w:val="0"/>
          <w:numId w:val="1"/>
        </w:numPr>
        <w:rPr>
          <w:rFonts w:ascii="Arial" w:hAnsi="Arial" w:cs="Arial"/>
          <w:szCs w:val="22"/>
        </w:rPr>
      </w:pPr>
      <w:r w:rsidRPr="005E30A5">
        <w:rPr>
          <w:rFonts w:ascii="Arial" w:hAnsi="Arial" w:cs="Arial"/>
          <w:szCs w:val="22"/>
        </w:rPr>
        <w:t xml:space="preserve">Associate membership has brought in a total of </w:t>
      </w:r>
      <w:r w:rsidR="0043544D" w:rsidRPr="00626B51">
        <w:rPr>
          <w:rFonts w:ascii="Arial" w:hAnsi="Arial" w:cs="Arial"/>
          <w:szCs w:val="22"/>
        </w:rPr>
        <w:t>£335,061</w:t>
      </w:r>
      <w:r w:rsidRPr="005E30A5">
        <w:rPr>
          <w:rFonts w:ascii="Arial" w:hAnsi="Arial" w:cs="Arial"/>
          <w:szCs w:val="22"/>
        </w:rPr>
        <w:t xml:space="preserve"> in 2018/19, the majority of which comes from fire and rescue authorities.</w:t>
      </w:r>
      <w:r w:rsidR="00674EE5" w:rsidRPr="005E30A5">
        <w:rPr>
          <w:rFonts w:ascii="Arial" w:hAnsi="Arial" w:cs="Arial"/>
          <w:szCs w:val="22"/>
        </w:rPr>
        <w:t xml:space="preserve"> </w:t>
      </w:r>
    </w:p>
    <w:p w14:paraId="09B350B0" w14:textId="77777777" w:rsidR="000A0C25" w:rsidRPr="000A0C25" w:rsidRDefault="000A0C25" w:rsidP="000A0C25">
      <w:pPr>
        <w:ind w:left="360"/>
        <w:rPr>
          <w:rFonts w:ascii="Arial" w:hAnsi="Arial" w:cs="Arial"/>
          <w:b/>
          <w:szCs w:val="22"/>
        </w:rPr>
      </w:pPr>
    </w:p>
    <w:p w14:paraId="09B350B1" w14:textId="77777777" w:rsidR="002606E7" w:rsidRPr="008E60AB" w:rsidRDefault="006B6B14" w:rsidP="002D6DE2">
      <w:pPr>
        <w:pStyle w:val="MainText"/>
        <w:spacing w:line="240" w:lineRule="auto"/>
        <w:rPr>
          <w:rFonts w:ascii="Arial" w:hAnsi="Arial" w:cs="Arial"/>
          <w:b/>
          <w:szCs w:val="22"/>
        </w:rPr>
      </w:pPr>
      <w:r>
        <w:rPr>
          <w:rFonts w:ascii="Arial" w:hAnsi="Arial" w:cs="Arial"/>
          <w:b/>
          <w:szCs w:val="22"/>
        </w:rPr>
        <w:t xml:space="preserve"> </w:t>
      </w:r>
      <w:r w:rsidR="002606E7">
        <w:rPr>
          <w:rFonts w:ascii="Arial" w:hAnsi="Arial" w:cs="Arial"/>
          <w:b/>
          <w:szCs w:val="22"/>
        </w:rPr>
        <w:t>Current</w:t>
      </w:r>
      <w:r w:rsidR="00AB6DEA">
        <w:rPr>
          <w:rFonts w:ascii="Arial" w:hAnsi="Arial" w:cs="Arial"/>
          <w:b/>
          <w:szCs w:val="22"/>
        </w:rPr>
        <w:t xml:space="preserve"> m</w:t>
      </w:r>
      <w:r w:rsidR="00C568F9">
        <w:rPr>
          <w:rFonts w:ascii="Arial" w:hAnsi="Arial" w:cs="Arial"/>
          <w:b/>
          <w:szCs w:val="22"/>
        </w:rPr>
        <w:t>embership position</w:t>
      </w:r>
    </w:p>
    <w:p w14:paraId="09B350B2" w14:textId="77777777" w:rsidR="002606E7" w:rsidRPr="008E60AB" w:rsidRDefault="002606E7" w:rsidP="002D6DE2">
      <w:pPr>
        <w:pStyle w:val="MainText"/>
        <w:spacing w:line="240" w:lineRule="auto"/>
        <w:rPr>
          <w:rFonts w:ascii="Arial" w:hAnsi="Arial" w:cs="Arial"/>
          <w:szCs w:val="22"/>
        </w:rPr>
      </w:pPr>
    </w:p>
    <w:p w14:paraId="09B350B3" w14:textId="77777777" w:rsidR="00715BC6" w:rsidRDefault="000800A8" w:rsidP="002D6DE2">
      <w:pPr>
        <w:pStyle w:val="MainText"/>
        <w:numPr>
          <w:ilvl w:val="0"/>
          <w:numId w:val="1"/>
        </w:numPr>
        <w:spacing w:line="240" w:lineRule="auto"/>
        <w:rPr>
          <w:rFonts w:ascii="Arial" w:hAnsi="Arial" w:cs="Arial"/>
          <w:szCs w:val="22"/>
        </w:rPr>
      </w:pPr>
      <w:r>
        <w:rPr>
          <w:rFonts w:ascii="Arial" w:hAnsi="Arial" w:cs="Arial"/>
          <w:szCs w:val="22"/>
        </w:rPr>
        <w:t>Four</w:t>
      </w:r>
      <w:r w:rsidR="002606E7" w:rsidRPr="00746D9B">
        <w:rPr>
          <w:rFonts w:ascii="Arial" w:hAnsi="Arial" w:cs="Arial"/>
          <w:szCs w:val="22"/>
        </w:rPr>
        <w:t xml:space="preserve"> councils are </w:t>
      </w:r>
      <w:r w:rsidR="00AB6DEA" w:rsidRPr="00746D9B">
        <w:rPr>
          <w:rFonts w:ascii="Arial" w:hAnsi="Arial" w:cs="Arial"/>
          <w:szCs w:val="22"/>
        </w:rPr>
        <w:t>currently out of</w:t>
      </w:r>
      <w:r w:rsidR="002606E7" w:rsidRPr="00746D9B">
        <w:rPr>
          <w:rFonts w:ascii="Arial" w:hAnsi="Arial" w:cs="Arial"/>
          <w:szCs w:val="22"/>
        </w:rPr>
        <w:t xml:space="preserve"> membership</w:t>
      </w:r>
      <w:r w:rsidR="00AB6DEA" w:rsidRPr="00746D9B">
        <w:rPr>
          <w:rFonts w:ascii="Arial" w:hAnsi="Arial" w:cs="Arial"/>
          <w:szCs w:val="22"/>
        </w:rPr>
        <w:t xml:space="preserve"> </w:t>
      </w:r>
      <w:r w:rsidR="00715BC6" w:rsidRPr="00746D9B">
        <w:rPr>
          <w:rFonts w:ascii="Arial" w:hAnsi="Arial" w:cs="Arial"/>
          <w:szCs w:val="22"/>
        </w:rPr>
        <w:t>–</w:t>
      </w:r>
      <w:r w:rsidR="00AB6DEA" w:rsidRPr="00746D9B">
        <w:rPr>
          <w:rFonts w:ascii="Arial" w:hAnsi="Arial" w:cs="Arial"/>
          <w:szCs w:val="22"/>
        </w:rPr>
        <w:t xml:space="preserve"> </w:t>
      </w:r>
      <w:r w:rsidR="008D3988">
        <w:rPr>
          <w:rFonts w:ascii="Arial" w:hAnsi="Arial" w:cs="Arial"/>
          <w:szCs w:val="22"/>
        </w:rPr>
        <w:t xml:space="preserve">London Boroughs of </w:t>
      </w:r>
      <w:r w:rsidR="002606E7" w:rsidRPr="00746D9B">
        <w:rPr>
          <w:rFonts w:ascii="Arial" w:hAnsi="Arial" w:cs="Arial"/>
          <w:szCs w:val="22"/>
        </w:rPr>
        <w:t>Bromley</w:t>
      </w:r>
      <w:r w:rsidR="00715BC6" w:rsidRPr="00746D9B">
        <w:rPr>
          <w:rFonts w:ascii="Arial" w:hAnsi="Arial" w:cs="Arial"/>
          <w:szCs w:val="22"/>
        </w:rPr>
        <w:t>, Wandsworth</w:t>
      </w:r>
      <w:r w:rsidR="002606E7" w:rsidRPr="00746D9B">
        <w:rPr>
          <w:rFonts w:ascii="Arial" w:hAnsi="Arial" w:cs="Arial"/>
          <w:szCs w:val="22"/>
        </w:rPr>
        <w:t xml:space="preserve"> and </w:t>
      </w:r>
      <w:r w:rsidR="008D3988">
        <w:rPr>
          <w:rFonts w:ascii="Arial" w:hAnsi="Arial" w:cs="Arial"/>
          <w:szCs w:val="22"/>
        </w:rPr>
        <w:t>Barnet</w:t>
      </w:r>
      <w:r>
        <w:rPr>
          <w:rFonts w:ascii="Arial" w:hAnsi="Arial" w:cs="Arial"/>
          <w:szCs w:val="22"/>
        </w:rPr>
        <w:t xml:space="preserve"> and Gosport Borough Council</w:t>
      </w:r>
      <w:r w:rsidR="002606E7" w:rsidRPr="00746D9B">
        <w:rPr>
          <w:rFonts w:ascii="Arial" w:hAnsi="Arial" w:cs="Arial"/>
          <w:szCs w:val="22"/>
        </w:rPr>
        <w:t xml:space="preserve">. </w:t>
      </w:r>
      <w:r w:rsidR="00674EE5">
        <w:rPr>
          <w:rFonts w:ascii="Arial" w:hAnsi="Arial" w:cs="Arial"/>
          <w:szCs w:val="22"/>
        </w:rPr>
        <w:t xml:space="preserve">All other member councils have been accepted into membership of the new incorporated LGA, with the exception of Lincolnshire, </w:t>
      </w:r>
      <w:r w:rsidR="00241CBC">
        <w:rPr>
          <w:rFonts w:ascii="Arial" w:hAnsi="Arial" w:cs="Arial"/>
          <w:szCs w:val="22"/>
        </w:rPr>
        <w:t>who are currently reconsidering their position</w:t>
      </w:r>
      <w:r w:rsidR="00674EE5">
        <w:rPr>
          <w:rFonts w:ascii="Arial" w:hAnsi="Arial" w:cs="Arial"/>
          <w:szCs w:val="22"/>
        </w:rPr>
        <w:t>.</w:t>
      </w:r>
      <w:r w:rsidR="00AB6DEA" w:rsidRPr="00746D9B">
        <w:rPr>
          <w:rFonts w:ascii="Arial" w:hAnsi="Arial" w:cs="Arial"/>
          <w:szCs w:val="22"/>
        </w:rPr>
        <w:t xml:space="preserve"> </w:t>
      </w:r>
      <w:r w:rsidR="00FA2967">
        <w:rPr>
          <w:rFonts w:ascii="Arial" w:hAnsi="Arial" w:cs="Arial"/>
          <w:szCs w:val="22"/>
        </w:rPr>
        <w:t>In addition, the following councils are on notice to leave</w:t>
      </w:r>
      <w:r w:rsidR="00D54A8F">
        <w:rPr>
          <w:rFonts w:ascii="Arial" w:hAnsi="Arial" w:cs="Arial"/>
          <w:szCs w:val="22"/>
        </w:rPr>
        <w:t>:</w:t>
      </w:r>
    </w:p>
    <w:p w14:paraId="09B350B4" w14:textId="77777777" w:rsidR="00FA2967" w:rsidRDefault="00FA2967" w:rsidP="00FA2967">
      <w:pPr>
        <w:pStyle w:val="MainText"/>
        <w:spacing w:line="240" w:lineRule="auto"/>
        <w:rPr>
          <w:rFonts w:ascii="Arial" w:hAnsi="Arial" w:cs="Arial"/>
          <w:szCs w:val="22"/>
        </w:rPr>
      </w:pPr>
    </w:p>
    <w:p w14:paraId="09B350B5" w14:textId="77777777" w:rsidR="00213858" w:rsidRDefault="00213858" w:rsidP="00FA2967">
      <w:pPr>
        <w:pStyle w:val="MainText"/>
        <w:spacing w:line="240" w:lineRule="auto"/>
        <w:rPr>
          <w:rFonts w:ascii="Arial" w:hAnsi="Arial" w:cs="Arial"/>
          <w:szCs w:val="22"/>
        </w:rPr>
      </w:pPr>
    </w:p>
    <w:p w14:paraId="09B350B6" w14:textId="77777777" w:rsidR="00FA2967" w:rsidRPr="00FA2967" w:rsidRDefault="00FA2967" w:rsidP="00D54A8F">
      <w:pPr>
        <w:pStyle w:val="MainText"/>
        <w:numPr>
          <w:ilvl w:val="1"/>
          <w:numId w:val="1"/>
        </w:numPr>
        <w:spacing w:line="240" w:lineRule="auto"/>
        <w:rPr>
          <w:rFonts w:ascii="Arial" w:hAnsi="Arial" w:cs="Arial"/>
          <w:szCs w:val="22"/>
        </w:rPr>
      </w:pPr>
      <w:r w:rsidRPr="00FA2967">
        <w:rPr>
          <w:rFonts w:ascii="Arial" w:hAnsi="Arial"/>
          <w:color w:val="000000"/>
          <w:szCs w:val="22"/>
        </w:rPr>
        <w:lastRenderedPageBreak/>
        <w:t>Eas</w:t>
      </w:r>
      <w:r>
        <w:rPr>
          <w:rFonts w:ascii="Arial" w:hAnsi="Arial"/>
          <w:color w:val="000000"/>
          <w:szCs w:val="22"/>
        </w:rPr>
        <w:t>t Staffordshire Borough Council</w:t>
      </w:r>
    </w:p>
    <w:p w14:paraId="09B350B7" w14:textId="77777777" w:rsidR="00FA2967" w:rsidRPr="00FA2967" w:rsidRDefault="00FA2967" w:rsidP="00D54A8F">
      <w:pPr>
        <w:pStyle w:val="MainText"/>
        <w:numPr>
          <w:ilvl w:val="1"/>
          <w:numId w:val="1"/>
        </w:numPr>
        <w:spacing w:line="240" w:lineRule="auto"/>
        <w:rPr>
          <w:rFonts w:ascii="Arial" w:hAnsi="Arial" w:cs="Arial"/>
          <w:szCs w:val="22"/>
        </w:rPr>
      </w:pPr>
      <w:r>
        <w:rPr>
          <w:rFonts w:ascii="Arial" w:hAnsi="Arial"/>
          <w:color w:val="000000"/>
          <w:szCs w:val="22"/>
        </w:rPr>
        <w:t>Southend Borough Council</w:t>
      </w:r>
    </w:p>
    <w:p w14:paraId="09B350B8" w14:textId="77777777" w:rsidR="00FA2967" w:rsidRPr="00FA2967" w:rsidRDefault="00FA2967" w:rsidP="00D54A8F">
      <w:pPr>
        <w:pStyle w:val="MainText"/>
        <w:numPr>
          <w:ilvl w:val="1"/>
          <w:numId w:val="1"/>
        </w:numPr>
        <w:spacing w:line="240" w:lineRule="auto"/>
        <w:rPr>
          <w:rFonts w:ascii="Arial" w:hAnsi="Arial" w:cs="Arial"/>
          <w:szCs w:val="22"/>
        </w:rPr>
      </w:pPr>
      <w:r>
        <w:rPr>
          <w:rFonts w:ascii="Arial" w:hAnsi="Arial"/>
          <w:color w:val="000000"/>
          <w:szCs w:val="22"/>
        </w:rPr>
        <w:t>London Borough of Richmond</w:t>
      </w:r>
    </w:p>
    <w:p w14:paraId="09B350B9" w14:textId="77777777" w:rsidR="00FA2967" w:rsidRPr="00FA2967" w:rsidRDefault="00FA2967" w:rsidP="00D54A8F">
      <w:pPr>
        <w:pStyle w:val="MainText"/>
        <w:numPr>
          <w:ilvl w:val="1"/>
          <w:numId w:val="1"/>
        </w:numPr>
        <w:spacing w:line="240" w:lineRule="auto"/>
        <w:rPr>
          <w:rFonts w:ascii="Arial" w:hAnsi="Arial" w:cs="Arial"/>
          <w:szCs w:val="22"/>
        </w:rPr>
      </w:pPr>
      <w:r>
        <w:rPr>
          <w:rFonts w:ascii="Arial" w:hAnsi="Arial"/>
          <w:color w:val="000000"/>
          <w:szCs w:val="22"/>
        </w:rPr>
        <w:t>Leicestershire County Council</w:t>
      </w:r>
    </w:p>
    <w:p w14:paraId="09B350BA" w14:textId="77777777" w:rsidR="00FA2967" w:rsidRPr="00241CBC" w:rsidRDefault="00FA2967" w:rsidP="00D54A8F">
      <w:pPr>
        <w:pStyle w:val="MainText"/>
        <w:numPr>
          <w:ilvl w:val="1"/>
          <w:numId w:val="1"/>
        </w:numPr>
        <w:spacing w:line="240" w:lineRule="auto"/>
        <w:rPr>
          <w:rFonts w:ascii="Arial" w:hAnsi="Arial" w:cs="Arial"/>
          <w:szCs w:val="22"/>
        </w:rPr>
      </w:pPr>
      <w:r w:rsidRPr="00FA2967">
        <w:rPr>
          <w:rFonts w:ascii="Arial" w:hAnsi="Arial"/>
          <w:color w:val="000000"/>
          <w:szCs w:val="22"/>
        </w:rPr>
        <w:t>West Sussex County Council</w:t>
      </w:r>
    </w:p>
    <w:p w14:paraId="09B350BB" w14:textId="77777777" w:rsidR="00241CBC" w:rsidRPr="00FA2967" w:rsidRDefault="00241CBC" w:rsidP="00D54A8F">
      <w:pPr>
        <w:pStyle w:val="MainText"/>
        <w:numPr>
          <w:ilvl w:val="1"/>
          <w:numId w:val="1"/>
        </w:numPr>
        <w:spacing w:line="240" w:lineRule="auto"/>
        <w:rPr>
          <w:rFonts w:ascii="Arial" w:hAnsi="Arial" w:cs="Arial"/>
          <w:szCs w:val="22"/>
        </w:rPr>
      </w:pPr>
      <w:r>
        <w:rPr>
          <w:rFonts w:ascii="Arial" w:hAnsi="Arial" w:cs="Arial"/>
          <w:szCs w:val="22"/>
        </w:rPr>
        <w:t>Norfolk Broads National Park Authority (Associate member)</w:t>
      </w:r>
    </w:p>
    <w:p w14:paraId="09B350BC" w14:textId="77777777" w:rsidR="00256856" w:rsidRDefault="00256856" w:rsidP="00256856">
      <w:pPr>
        <w:pStyle w:val="MainText"/>
        <w:spacing w:line="240" w:lineRule="auto"/>
        <w:ind w:left="360"/>
        <w:rPr>
          <w:rFonts w:ascii="Arial" w:hAnsi="Arial" w:cs="Arial"/>
          <w:szCs w:val="22"/>
        </w:rPr>
      </w:pPr>
    </w:p>
    <w:p w14:paraId="09B350BD" w14:textId="77777777" w:rsidR="00256856" w:rsidRDefault="00FA2967" w:rsidP="002D6DE2">
      <w:pPr>
        <w:pStyle w:val="MainText"/>
        <w:numPr>
          <w:ilvl w:val="0"/>
          <w:numId w:val="1"/>
        </w:numPr>
        <w:spacing w:line="240" w:lineRule="auto"/>
        <w:rPr>
          <w:rFonts w:ascii="Arial" w:hAnsi="Arial" w:cs="Arial"/>
          <w:szCs w:val="22"/>
        </w:rPr>
      </w:pPr>
      <w:r>
        <w:rPr>
          <w:rFonts w:ascii="Arial" w:hAnsi="Arial" w:cs="Arial"/>
          <w:szCs w:val="22"/>
        </w:rPr>
        <w:t>In relation to the forthcoming reorganisations in Dorset, Somerset and Suffolk, l</w:t>
      </w:r>
      <w:r w:rsidR="00256856">
        <w:rPr>
          <w:rFonts w:ascii="Arial" w:hAnsi="Arial" w:cs="Arial"/>
          <w:szCs w:val="22"/>
        </w:rPr>
        <w:t xml:space="preserve">egal advice is that we </w:t>
      </w:r>
      <w:r>
        <w:rPr>
          <w:rFonts w:ascii="Arial" w:hAnsi="Arial" w:cs="Arial"/>
          <w:szCs w:val="22"/>
        </w:rPr>
        <w:t>will not</w:t>
      </w:r>
      <w:r w:rsidR="00256856">
        <w:rPr>
          <w:rFonts w:ascii="Arial" w:hAnsi="Arial" w:cs="Arial"/>
          <w:szCs w:val="22"/>
        </w:rPr>
        <w:t xml:space="preserve"> need to seek fresh applications to join the LGA company from the successor councils but can instead confirm their </w:t>
      </w:r>
      <w:r w:rsidR="00241CBC">
        <w:rPr>
          <w:rFonts w:ascii="Arial" w:hAnsi="Arial" w:cs="Arial"/>
          <w:szCs w:val="22"/>
        </w:rPr>
        <w:t>membership</w:t>
      </w:r>
      <w:r w:rsidR="00256856">
        <w:rPr>
          <w:rFonts w:ascii="Arial" w:hAnsi="Arial" w:cs="Arial"/>
          <w:szCs w:val="22"/>
        </w:rPr>
        <w:t xml:space="preserve"> by notice.</w:t>
      </w:r>
    </w:p>
    <w:p w14:paraId="09B350BE" w14:textId="77777777" w:rsidR="000A0C25" w:rsidRDefault="000A0C25" w:rsidP="000A0C25">
      <w:pPr>
        <w:pStyle w:val="MainText"/>
        <w:spacing w:line="240" w:lineRule="auto"/>
        <w:ind w:left="360"/>
        <w:rPr>
          <w:rFonts w:ascii="Arial" w:hAnsi="Arial" w:cs="Arial"/>
          <w:szCs w:val="22"/>
        </w:rPr>
      </w:pPr>
    </w:p>
    <w:p w14:paraId="09B350BF" w14:textId="77777777" w:rsidR="00A01FD0" w:rsidRPr="00A01FD0" w:rsidRDefault="00A01FD0" w:rsidP="002D6DE2">
      <w:pPr>
        <w:pStyle w:val="MainText"/>
        <w:spacing w:line="240" w:lineRule="auto"/>
        <w:rPr>
          <w:rFonts w:ascii="Arial" w:hAnsi="Arial" w:cs="Arial"/>
          <w:b/>
          <w:szCs w:val="22"/>
        </w:rPr>
      </w:pPr>
      <w:r w:rsidRPr="00A01FD0">
        <w:rPr>
          <w:rFonts w:ascii="Arial" w:hAnsi="Arial" w:cs="Arial"/>
          <w:b/>
          <w:szCs w:val="22"/>
        </w:rPr>
        <w:t xml:space="preserve">Welsh </w:t>
      </w:r>
      <w:r w:rsidR="00942A4F">
        <w:rPr>
          <w:rFonts w:ascii="Arial" w:hAnsi="Arial" w:cs="Arial"/>
          <w:b/>
          <w:szCs w:val="22"/>
        </w:rPr>
        <w:t xml:space="preserve">LGAs and Fire and Rescue Authorities </w:t>
      </w:r>
    </w:p>
    <w:p w14:paraId="09B350C0" w14:textId="77777777" w:rsidR="00A01FD0" w:rsidRDefault="00A01FD0" w:rsidP="002D6DE2">
      <w:pPr>
        <w:pStyle w:val="MainText"/>
        <w:spacing w:line="240" w:lineRule="auto"/>
        <w:rPr>
          <w:rFonts w:ascii="Arial" w:hAnsi="Arial" w:cs="Arial"/>
          <w:szCs w:val="22"/>
        </w:rPr>
      </w:pPr>
    </w:p>
    <w:p w14:paraId="09B350C1" w14:textId="77777777" w:rsidR="00942A4F" w:rsidRDefault="00241CBC" w:rsidP="00241CBC">
      <w:pPr>
        <w:pStyle w:val="MainText"/>
        <w:numPr>
          <w:ilvl w:val="0"/>
          <w:numId w:val="1"/>
        </w:numPr>
        <w:spacing w:line="240" w:lineRule="auto"/>
        <w:rPr>
          <w:rFonts w:ascii="Arial" w:hAnsi="Arial" w:cs="Arial"/>
          <w:szCs w:val="22"/>
        </w:rPr>
      </w:pPr>
      <w:r>
        <w:rPr>
          <w:rFonts w:ascii="Arial" w:hAnsi="Arial" w:cs="Arial"/>
          <w:szCs w:val="22"/>
        </w:rPr>
        <w:t xml:space="preserve">Following Neath Port Talbot’s decision last year to rejoin </w:t>
      </w:r>
      <w:r w:rsidRPr="00241CBC">
        <w:rPr>
          <w:rFonts w:ascii="Arial" w:hAnsi="Arial" w:cs="Arial"/>
          <w:szCs w:val="22"/>
        </w:rPr>
        <w:t xml:space="preserve">the </w:t>
      </w:r>
      <w:r w:rsidR="00354F2E" w:rsidRPr="00241CBC">
        <w:rPr>
          <w:rFonts w:ascii="Arial" w:hAnsi="Arial" w:cs="Arial"/>
          <w:szCs w:val="22"/>
        </w:rPr>
        <w:t>WLGA’s corporate</w:t>
      </w:r>
      <w:r w:rsidRPr="00241CBC">
        <w:rPr>
          <w:rFonts w:ascii="Arial" w:hAnsi="Arial" w:cs="Arial"/>
          <w:szCs w:val="22"/>
        </w:rPr>
        <w:t xml:space="preserve"> scheme</w:t>
      </w:r>
      <w:r>
        <w:rPr>
          <w:rFonts w:ascii="Arial" w:hAnsi="Arial" w:cs="Arial"/>
          <w:szCs w:val="22"/>
        </w:rPr>
        <w:t>,</w:t>
      </w:r>
      <w:r w:rsidRPr="00241CBC">
        <w:rPr>
          <w:rFonts w:ascii="Arial" w:hAnsi="Arial" w:cs="Arial"/>
          <w:szCs w:val="22"/>
        </w:rPr>
        <w:t xml:space="preserve"> </w:t>
      </w:r>
      <w:r>
        <w:rPr>
          <w:rFonts w:ascii="Arial" w:hAnsi="Arial" w:cs="Arial"/>
          <w:szCs w:val="22"/>
        </w:rPr>
        <w:t>a</w:t>
      </w:r>
      <w:r w:rsidRPr="00241CBC">
        <w:rPr>
          <w:rFonts w:ascii="Arial" w:hAnsi="Arial" w:cs="Arial"/>
          <w:szCs w:val="22"/>
        </w:rPr>
        <w:t xml:space="preserve">ll Welsh councils </w:t>
      </w:r>
      <w:r>
        <w:rPr>
          <w:rFonts w:ascii="Arial" w:hAnsi="Arial" w:cs="Arial"/>
          <w:szCs w:val="22"/>
        </w:rPr>
        <w:t>are in</w:t>
      </w:r>
      <w:r w:rsidRPr="00241CBC">
        <w:rPr>
          <w:rFonts w:ascii="Arial" w:hAnsi="Arial" w:cs="Arial"/>
          <w:szCs w:val="22"/>
        </w:rPr>
        <w:t xml:space="preserve"> membership with the exception of Blaenau Gwent Council</w:t>
      </w:r>
      <w:r w:rsidR="008D3988" w:rsidRPr="00241CBC">
        <w:rPr>
          <w:rFonts w:ascii="Arial" w:hAnsi="Arial" w:cs="Arial"/>
          <w:szCs w:val="22"/>
        </w:rPr>
        <w:t xml:space="preserve">. </w:t>
      </w:r>
    </w:p>
    <w:p w14:paraId="09B350C2" w14:textId="77777777" w:rsidR="00241CBC" w:rsidRPr="00241CBC" w:rsidRDefault="00241CBC" w:rsidP="00241CBC">
      <w:pPr>
        <w:pStyle w:val="MainText"/>
        <w:spacing w:line="240" w:lineRule="auto"/>
        <w:ind w:left="360"/>
        <w:rPr>
          <w:rFonts w:ascii="Arial" w:hAnsi="Arial" w:cs="Arial"/>
          <w:szCs w:val="22"/>
        </w:rPr>
      </w:pPr>
    </w:p>
    <w:p w14:paraId="09B350C3" w14:textId="77777777" w:rsidR="006F58F2" w:rsidRDefault="006F58F2" w:rsidP="006F58F2">
      <w:pPr>
        <w:numPr>
          <w:ilvl w:val="0"/>
          <w:numId w:val="1"/>
        </w:numPr>
        <w:rPr>
          <w:rFonts w:ascii="Arial" w:hAnsi="Arial" w:cs="Arial"/>
          <w:szCs w:val="22"/>
        </w:rPr>
      </w:pPr>
      <w:r w:rsidRPr="00314473">
        <w:rPr>
          <w:rFonts w:ascii="Arial" w:hAnsi="Arial" w:cs="Arial"/>
          <w:szCs w:val="22"/>
        </w:rPr>
        <w:t xml:space="preserve">New arrangements for fire and rescue came into effect from this year in some parts of the country. London and Greater Manchester now fall under the respective deputy mayors for fire, but have continued to pay </w:t>
      </w:r>
      <w:r>
        <w:rPr>
          <w:rFonts w:ascii="Arial" w:hAnsi="Arial" w:cs="Arial"/>
          <w:szCs w:val="22"/>
        </w:rPr>
        <w:t xml:space="preserve">their LGA </w:t>
      </w:r>
      <w:r w:rsidRPr="00314473">
        <w:rPr>
          <w:rFonts w:ascii="Arial" w:hAnsi="Arial" w:cs="Arial"/>
          <w:szCs w:val="22"/>
        </w:rPr>
        <w:t>subscription</w:t>
      </w:r>
      <w:r>
        <w:rPr>
          <w:rFonts w:ascii="Arial" w:hAnsi="Arial" w:cs="Arial"/>
          <w:szCs w:val="22"/>
        </w:rPr>
        <w:t xml:space="preserve"> and to be actively involved with us. </w:t>
      </w:r>
      <w:r w:rsidRPr="00314473">
        <w:rPr>
          <w:rFonts w:ascii="Arial" w:hAnsi="Arial" w:cs="Arial"/>
          <w:szCs w:val="22"/>
        </w:rPr>
        <w:t xml:space="preserve">Essex PCC has taken over responsibility for fire </w:t>
      </w:r>
      <w:r>
        <w:rPr>
          <w:rFonts w:ascii="Arial" w:hAnsi="Arial" w:cs="Arial"/>
          <w:szCs w:val="22"/>
        </w:rPr>
        <w:t>and</w:t>
      </w:r>
      <w:r w:rsidRPr="00314473">
        <w:rPr>
          <w:rFonts w:ascii="Arial" w:hAnsi="Arial" w:cs="Arial"/>
          <w:szCs w:val="22"/>
        </w:rPr>
        <w:t xml:space="preserve"> joined the LGA associate scheme</w:t>
      </w:r>
      <w:r>
        <w:rPr>
          <w:rFonts w:ascii="Arial" w:hAnsi="Arial" w:cs="Arial"/>
          <w:szCs w:val="22"/>
        </w:rPr>
        <w:t xml:space="preserve"> for combined fire, police and crime commissioners</w:t>
      </w:r>
      <w:r w:rsidRPr="00314473">
        <w:rPr>
          <w:rFonts w:ascii="Arial" w:hAnsi="Arial" w:cs="Arial"/>
          <w:szCs w:val="22"/>
        </w:rPr>
        <w:t xml:space="preserve">. It is likely that Northamptonshire will follow suit – the Northants PCC application to join the associate scheme is included on this agenda. Discussions are also underway with the Shropshire and North Yorkshire PCCs, both of whom have applied to take over fire and rescue. </w:t>
      </w:r>
    </w:p>
    <w:p w14:paraId="09B350C4" w14:textId="77777777" w:rsidR="006B6B14" w:rsidRDefault="006B6B14" w:rsidP="006B6B14">
      <w:pPr>
        <w:pStyle w:val="MainText"/>
        <w:spacing w:line="240" w:lineRule="auto"/>
        <w:rPr>
          <w:rFonts w:ascii="Arial" w:hAnsi="Arial" w:cs="Arial"/>
          <w:b/>
          <w:szCs w:val="22"/>
        </w:rPr>
      </w:pPr>
    </w:p>
    <w:p w14:paraId="09B350C5" w14:textId="77777777" w:rsidR="006B6B14" w:rsidRPr="008E60AB" w:rsidRDefault="006B6B14" w:rsidP="006B6B14">
      <w:pPr>
        <w:pStyle w:val="MainText"/>
        <w:spacing w:line="240" w:lineRule="auto"/>
        <w:rPr>
          <w:rFonts w:ascii="Arial" w:hAnsi="Arial" w:cs="Arial"/>
          <w:b/>
          <w:szCs w:val="22"/>
        </w:rPr>
      </w:pPr>
      <w:r>
        <w:rPr>
          <w:rFonts w:ascii="Arial" w:hAnsi="Arial" w:cs="Arial"/>
          <w:b/>
          <w:szCs w:val="22"/>
        </w:rPr>
        <w:t>Financial context</w:t>
      </w:r>
    </w:p>
    <w:p w14:paraId="09B350C6" w14:textId="77777777" w:rsidR="006B6B14" w:rsidRPr="008E60AB" w:rsidRDefault="006B6B14" w:rsidP="006B6B14">
      <w:pPr>
        <w:pStyle w:val="MainText"/>
        <w:spacing w:line="240" w:lineRule="auto"/>
        <w:rPr>
          <w:rFonts w:ascii="Arial" w:hAnsi="Arial" w:cs="Arial"/>
          <w:szCs w:val="22"/>
        </w:rPr>
      </w:pPr>
    </w:p>
    <w:p w14:paraId="09B350C7" w14:textId="77777777" w:rsidR="006B6B14" w:rsidRDefault="006B6B14" w:rsidP="006B6B14">
      <w:pPr>
        <w:pStyle w:val="MainText"/>
        <w:numPr>
          <w:ilvl w:val="0"/>
          <w:numId w:val="1"/>
        </w:numPr>
        <w:spacing w:line="240" w:lineRule="auto"/>
        <w:rPr>
          <w:rFonts w:ascii="Arial" w:hAnsi="Arial" w:cs="Arial"/>
          <w:szCs w:val="22"/>
        </w:rPr>
      </w:pPr>
      <w:r>
        <w:rPr>
          <w:rFonts w:ascii="Arial" w:hAnsi="Arial" w:cs="Arial"/>
          <w:szCs w:val="22"/>
        </w:rPr>
        <w:t xml:space="preserve">In 2018/19 subscription income represents </w:t>
      </w:r>
      <w:r w:rsidR="009168BC" w:rsidRPr="009168BC">
        <w:rPr>
          <w:rFonts w:ascii="Arial" w:hAnsi="Arial" w:cs="Arial"/>
          <w:szCs w:val="22"/>
        </w:rPr>
        <w:t xml:space="preserve">about </w:t>
      </w:r>
      <w:r w:rsidRPr="009168BC">
        <w:rPr>
          <w:rFonts w:ascii="Arial" w:hAnsi="Arial" w:cs="Arial"/>
          <w:szCs w:val="22"/>
        </w:rPr>
        <w:t>46</w:t>
      </w:r>
      <w:r w:rsidR="003E30D4">
        <w:rPr>
          <w:rFonts w:ascii="Arial" w:hAnsi="Arial" w:cs="Arial"/>
          <w:szCs w:val="22"/>
        </w:rPr>
        <w:t xml:space="preserve">% </w:t>
      </w:r>
      <w:r>
        <w:rPr>
          <w:rFonts w:ascii="Arial" w:hAnsi="Arial" w:cs="Arial"/>
          <w:szCs w:val="22"/>
        </w:rPr>
        <w:t xml:space="preserve">of budgeted income for the LGA as a standalone entity. The targeted increase in levels of commercial income over the current and next two financial years will help meet unavoidable cost increases driven by inflation and pension deficit repayments. </w:t>
      </w:r>
    </w:p>
    <w:p w14:paraId="09B350C8" w14:textId="77777777" w:rsidR="006B6B14" w:rsidRDefault="006B6B14" w:rsidP="006B6B14">
      <w:pPr>
        <w:pStyle w:val="MainText"/>
        <w:spacing w:line="240" w:lineRule="auto"/>
        <w:rPr>
          <w:rFonts w:ascii="Arial" w:hAnsi="Arial" w:cs="Arial"/>
          <w:szCs w:val="22"/>
        </w:rPr>
      </w:pPr>
    </w:p>
    <w:p w14:paraId="09B350C9" w14:textId="77777777" w:rsidR="006B6B14" w:rsidRPr="00241CBC" w:rsidRDefault="006B6B14" w:rsidP="006B6B14">
      <w:pPr>
        <w:pStyle w:val="MainText"/>
        <w:numPr>
          <w:ilvl w:val="0"/>
          <w:numId w:val="1"/>
        </w:numPr>
        <w:spacing w:line="240" w:lineRule="auto"/>
        <w:rPr>
          <w:rFonts w:ascii="Arial" w:hAnsi="Arial" w:cs="Arial"/>
          <w:szCs w:val="22"/>
        </w:rPr>
      </w:pPr>
      <w:r w:rsidRPr="00241CBC">
        <w:rPr>
          <w:rFonts w:ascii="Arial" w:hAnsi="Arial" w:cs="Arial"/>
          <w:szCs w:val="22"/>
        </w:rPr>
        <w:t xml:space="preserve">The LGA’s revenue expenditure over this timeframe has been forecast in the 3 Year Financial Strategy to remain reasonably stable, with the opportunity to use part of the £1,705k placed into the Risk and Contingency Reserve to cover budget gaps, until the revenue income from the property developments begins to make a significant contribution to LGA costs from 2018/19. </w:t>
      </w:r>
      <w:r w:rsidRPr="00241CBC">
        <w:rPr>
          <w:rFonts w:ascii="Arial" w:hAnsi="Arial" w:cs="Arial"/>
          <w:szCs w:val="22"/>
          <w:lang w:val="en-US"/>
        </w:rPr>
        <w:t xml:space="preserve">However, the financial strategy continues to be dependent on substantial, albeit reducing levels of funding from Government and there is a degree of risk associated with the projected increases in commercial income. </w:t>
      </w:r>
    </w:p>
    <w:p w14:paraId="09B350CA" w14:textId="77777777" w:rsidR="006B6B14" w:rsidRPr="00241CBC" w:rsidRDefault="006B6B14" w:rsidP="006B6B14">
      <w:pPr>
        <w:pStyle w:val="MainText"/>
        <w:spacing w:line="240" w:lineRule="auto"/>
        <w:rPr>
          <w:rFonts w:ascii="Arial" w:hAnsi="Arial" w:cs="Arial"/>
          <w:szCs w:val="22"/>
        </w:rPr>
      </w:pPr>
    </w:p>
    <w:p w14:paraId="09B350CB" w14:textId="77777777" w:rsidR="006B6B14" w:rsidRPr="00241CBC" w:rsidRDefault="006B6B14" w:rsidP="006B6B14">
      <w:pPr>
        <w:pStyle w:val="MainText"/>
        <w:numPr>
          <w:ilvl w:val="0"/>
          <w:numId w:val="1"/>
        </w:numPr>
        <w:spacing w:line="240" w:lineRule="auto"/>
        <w:rPr>
          <w:rFonts w:ascii="Arial" w:hAnsi="Arial" w:cs="Arial"/>
          <w:szCs w:val="22"/>
        </w:rPr>
      </w:pPr>
      <w:r w:rsidRPr="00241CBC">
        <w:rPr>
          <w:rFonts w:ascii="Arial" w:hAnsi="Arial" w:cs="Arial"/>
          <w:szCs w:val="22"/>
          <w:lang w:val="en-US"/>
        </w:rPr>
        <w:t>Each 1% increase in subscription levels would generate just under £100,000 additional income</w:t>
      </w:r>
      <w:r w:rsidR="00626B51" w:rsidRPr="00241CBC">
        <w:rPr>
          <w:rFonts w:ascii="Arial" w:hAnsi="Arial" w:cs="Arial"/>
          <w:szCs w:val="22"/>
          <w:lang w:val="en-US"/>
        </w:rPr>
        <w:t xml:space="preserve"> before any discounts</w:t>
      </w:r>
      <w:r w:rsidRPr="00241CBC">
        <w:rPr>
          <w:rFonts w:ascii="Arial" w:hAnsi="Arial" w:cs="Arial"/>
          <w:szCs w:val="22"/>
          <w:lang w:val="en-US"/>
        </w:rPr>
        <w:t>. This may seem insignificant on a single year basis but small annual increase over a period of years would contribute to the Association’s financial sustainability.</w:t>
      </w:r>
    </w:p>
    <w:p w14:paraId="09B350CC" w14:textId="77777777" w:rsidR="006B6B14" w:rsidRPr="00241CBC" w:rsidRDefault="006B6B14" w:rsidP="006B6B14">
      <w:pPr>
        <w:pStyle w:val="ListParagraph"/>
        <w:rPr>
          <w:rFonts w:ascii="Arial" w:hAnsi="Arial" w:cs="Arial"/>
          <w:szCs w:val="22"/>
        </w:rPr>
      </w:pPr>
    </w:p>
    <w:p w14:paraId="09B350CD" w14:textId="77777777" w:rsidR="006B6B14" w:rsidRDefault="00377B7A" w:rsidP="006B6B14">
      <w:pPr>
        <w:pStyle w:val="MainText"/>
        <w:numPr>
          <w:ilvl w:val="0"/>
          <w:numId w:val="1"/>
        </w:numPr>
        <w:spacing w:line="240" w:lineRule="auto"/>
        <w:rPr>
          <w:rFonts w:ascii="Arial" w:hAnsi="Arial" w:cs="Arial"/>
          <w:szCs w:val="22"/>
        </w:rPr>
      </w:pPr>
      <w:r>
        <w:rPr>
          <w:rFonts w:ascii="Arial" w:hAnsi="Arial" w:cs="Arial"/>
          <w:szCs w:val="22"/>
        </w:rPr>
        <w:t>Set a</w:t>
      </w:r>
      <w:r w:rsidR="006B6B14" w:rsidRPr="00241CBC">
        <w:rPr>
          <w:rFonts w:ascii="Arial" w:hAnsi="Arial" w:cs="Arial"/>
          <w:szCs w:val="22"/>
        </w:rPr>
        <w:t xml:space="preserve">gainst this are the continuing financial challenges facing member authorities and the commitment of Leadership Board to keep subscriptions as low as is practically possible. </w:t>
      </w:r>
    </w:p>
    <w:p w14:paraId="09B350CE" w14:textId="77777777" w:rsidR="00D54A8F" w:rsidRDefault="00D54A8F" w:rsidP="00D54A8F">
      <w:pPr>
        <w:pStyle w:val="ListParagraph"/>
        <w:rPr>
          <w:rFonts w:ascii="Arial" w:hAnsi="Arial" w:cs="Arial"/>
          <w:szCs w:val="22"/>
        </w:rPr>
      </w:pPr>
    </w:p>
    <w:p w14:paraId="09B350CF" w14:textId="77777777" w:rsidR="00D54A8F" w:rsidRDefault="00D54A8F" w:rsidP="00D54A8F">
      <w:pPr>
        <w:pStyle w:val="MainText"/>
        <w:spacing w:line="240" w:lineRule="auto"/>
        <w:ind w:left="360"/>
        <w:rPr>
          <w:rFonts w:ascii="Arial" w:hAnsi="Arial" w:cs="Arial"/>
          <w:szCs w:val="22"/>
        </w:rPr>
      </w:pPr>
    </w:p>
    <w:p w14:paraId="09B350D0" w14:textId="77777777" w:rsidR="00D54A8F" w:rsidRPr="00241CBC" w:rsidRDefault="00D54A8F" w:rsidP="00D54A8F">
      <w:pPr>
        <w:pStyle w:val="MainText"/>
        <w:spacing w:line="240" w:lineRule="auto"/>
        <w:ind w:left="360"/>
        <w:rPr>
          <w:rFonts w:ascii="Arial" w:hAnsi="Arial" w:cs="Arial"/>
          <w:szCs w:val="22"/>
        </w:rPr>
      </w:pPr>
    </w:p>
    <w:p w14:paraId="09B350D1" w14:textId="77777777" w:rsidR="006B6B14" w:rsidRPr="008471D1" w:rsidRDefault="006B6B14" w:rsidP="006B6B14">
      <w:pPr>
        <w:pStyle w:val="MainText"/>
        <w:spacing w:line="240" w:lineRule="auto"/>
        <w:rPr>
          <w:rFonts w:ascii="Arial" w:hAnsi="Arial" w:cs="Arial"/>
          <w:b/>
          <w:szCs w:val="22"/>
        </w:rPr>
      </w:pPr>
      <w:r>
        <w:rPr>
          <w:rFonts w:ascii="Arial" w:hAnsi="Arial" w:cs="Arial"/>
          <w:b/>
          <w:szCs w:val="22"/>
        </w:rPr>
        <w:lastRenderedPageBreak/>
        <w:t>LGA subscriptions 2019/20</w:t>
      </w:r>
      <w:r w:rsidRPr="008471D1">
        <w:rPr>
          <w:rFonts w:ascii="Arial" w:hAnsi="Arial" w:cs="Arial"/>
          <w:b/>
          <w:szCs w:val="22"/>
        </w:rPr>
        <w:t xml:space="preserve"> - options</w:t>
      </w:r>
    </w:p>
    <w:p w14:paraId="09B350D2" w14:textId="77777777" w:rsidR="006B6B14" w:rsidRDefault="006B6B14" w:rsidP="006B6B14">
      <w:pPr>
        <w:pStyle w:val="ListParagraph"/>
        <w:rPr>
          <w:rFonts w:ascii="Arial" w:hAnsi="Arial" w:cs="Arial"/>
          <w:szCs w:val="22"/>
        </w:rPr>
      </w:pPr>
    </w:p>
    <w:p w14:paraId="09B350D3" w14:textId="77777777" w:rsidR="006B6B14" w:rsidRPr="00764601" w:rsidRDefault="006B6B14" w:rsidP="006B6B14">
      <w:pPr>
        <w:pStyle w:val="MainText"/>
        <w:numPr>
          <w:ilvl w:val="0"/>
          <w:numId w:val="1"/>
        </w:numPr>
        <w:spacing w:line="240" w:lineRule="auto"/>
        <w:rPr>
          <w:rFonts w:ascii="Arial" w:hAnsi="Arial" w:cs="Arial"/>
          <w:szCs w:val="22"/>
        </w:rPr>
      </w:pPr>
      <w:r w:rsidRPr="00764601">
        <w:rPr>
          <w:rFonts w:ascii="Arial" w:hAnsi="Arial" w:cs="Arial"/>
          <w:szCs w:val="22"/>
        </w:rPr>
        <w:t xml:space="preserve">In the light of the financial position, </w:t>
      </w:r>
      <w:r>
        <w:rPr>
          <w:rFonts w:ascii="Arial" w:hAnsi="Arial" w:cs="Arial"/>
          <w:szCs w:val="22"/>
        </w:rPr>
        <w:t>Leadership Board might wish to consider</w:t>
      </w:r>
      <w:r w:rsidRPr="00764601">
        <w:rPr>
          <w:rFonts w:ascii="Arial" w:hAnsi="Arial" w:cs="Arial"/>
          <w:szCs w:val="22"/>
        </w:rPr>
        <w:t xml:space="preserve"> </w:t>
      </w:r>
      <w:r w:rsidR="00D54A8F">
        <w:rPr>
          <w:rFonts w:ascii="Arial" w:hAnsi="Arial" w:cs="Arial"/>
          <w:szCs w:val="22"/>
        </w:rPr>
        <w:t>three</w:t>
      </w:r>
      <w:r w:rsidRPr="00764601">
        <w:rPr>
          <w:rFonts w:ascii="Arial" w:hAnsi="Arial" w:cs="Arial"/>
          <w:szCs w:val="22"/>
        </w:rPr>
        <w:t xml:space="preserve"> options for 201</w:t>
      </w:r>
      <w:r>
        <w:rPr>
          <w:rFonts w:ascii="Arial" w:hAnsi="Arial" w:cs="Arial"/>
          <w:szCs w:val="22"/>
        </w:rPr>
        <w:t>9/20</w:t>
      </w:r>
      <w:r w:rsidRPr="00764601">
        <w:rPr>
          <w:rFonts w:ascii="Arial" w:hAnsi="Arial" w:cs="Arial"/>
          <w:szCs w:val="22"/>
        </w:rPr>
        <w:t>.</w:t>
      </w:r>
    </w:p>
    <w:p w14:paraId="09B350D4" w14:textId="77777777" w:rsidR="006B6B14" w:rsidRPr="008E60AB" w:rsidRDefault="006B6B14" w:rsidP="006B6B14">
      <w:pPr>
        <w:pStyle w:val="MainText"/>
        <w:spacing w:line="240" w:lineRule="auto"/>
        <w:rPr>
          <w:rFonts w:ascii="Arial" w:hAnsi="Arial" w:cs="Arial"/>
          <w:szCs w:val="22"/>
        </w:rPr>
      </w:pPr>
    </w:p>
    <w:p w14:paraId="09B350D5" w14:textId="77777777" w:rsidR="006B6B14" w:rsidRPr="008E60AB" w:rsidRDefault="006B6B14" w:rsidP="006B6B14">
      <w:pPr>
        <w:pStyle w:val="MainText"/>
        <w:spacing w:after="120" w:line="240" w:lineRule="auto"/>
        <w:ind w:firstLine="357"/>
        <w:rPr>
          <w:rFonts w:ascii="Arial" w:hAnsi="Arial" w:cs="Arial"/>
          <w:szCs w:val="22"/>
        </w:rPr>
      </w:pPr>
      <w:r w:rsidRPr="003B7307">
        <w:rPr>
          <w:rFonts w:ascii="Arial" w:hAnsi="Arial" w:cs="Arial"/>
          <w:b/>
          <w:szCs w:val="22"/>
        </w:rPr>
        <w:t>Option 1 -</w:t>
      </w:r>
      <w:r>
        <w:rPr>
          <w:rFonts w:ascii="Arial" w:hAnsi="Arial" w:cs="Arial"/>
          <w:szCs w:val="22"/>
        </w:rPr>
        <w:t xml:space="preserve"> </w:t>
      </w:r>
      <w:r w:rsidRPr="007B053C">
        <w:rPr>
          <w:rFonts w:ascii="Arial" w:hAnsi="Arial" w:cs="Arial"/>
          <w:b/>
          <w:szCs w:val="22"/>
        </w:rPr>
        <w:t>No change</w:t>
      </w:r>
      <w:r w:rsidRPr="008E60AB">
        <w:rPr>
          <w:rFonts w:ascii="Arial" w:hAnsi="Arial" w:cs="Arial"/>
          <w:szCs w:val="22"/>
        </w:rPr>
        <w:t xml:space="preserve"> </w:t>
      </w:r>
    </w:p>
    <w:p w14:paraId="09B350D6" w14:textId="77777777" w:rsidR="006B6B14" w:rsidRPr="008E60AB" w:rsidRDefault="006B6B14" w:rsidP="006B6B14">
      <w:pPr>
        <w:numPr>
          <w:ilvl w:val="1"/>
          <w:numId w:val="1"/>
        </w:numPr>
        <w:ind w:left="993" w:hanging="633"/>
        <w:rPr>
          <w:rFonts w:ascii="Arial" w:hAnsi="Arial" w:cs="Arial"/>
          <w:szCs w:val="22"/>
        </w:rPr>
      </w:pPr>
      <w:r>
        <w:rPr>
          <w:rFonts w:ascii="Arial" w:hAnsi="Arial" w:cs="Arial"/>
          <w:szCs w:val="22"/>
        </w:rPr>
        <w:t xml:space="preserve">Would maintain income </w:t>
      </w:r>
      <w:r w:rsidRPr="00894709">
        <w:rPr>
          <w:rFonts w:ascii="Arial" w:hAnsi="Arial" w:cs="Arial"/>
          <w:szCs w:val="22"/>
        </w:rPr>
        <w:t xml:space="preserve">at </w:t>
      </w:r>
      <w:r w:rsidR="00377B7A">
        <w:rPr>
          <w:rFonts w:ascii="Arial" w:hAnsi="Arial" w:cs="Arial"/>
          <w:b/>
          <w:szCs w:val="22"/>
        </w:rPr>
        <w:t>£9.327</w:t>
      </w:r>
      <w:r w:rsidRPr="00894709">
        <w:rPr>
          <w:rFonts w:ascii="Arial" w:hAnsi="Arial" w:cs="Arial"/>
          <w:b/>
          <w:szCs w:val="22"/>
        </w:rPr>
        <w:t xml:space="preserve"> million</w:t>
      </w:r>
      <w:r w:rsidR="00377B7A">
        <w:rPr>
          <w:rFonts w:ascii="Arial" w:hAnsi="Arial" w:cs="Arial"/>
          <w:b/>
          <w:szCs w:val="22"/>
        </w:rPr>
        <w:t xml:space="preserve"> </w:t>
      </w:r>
      <w:r w:rsidR="00377B7A" w:rsidRPr="00377B7A">
        <w:rPr>
          <w:rFonts w:ascii="Arial" w:hAnsi="Arial" w:cs="Arial"/>
          <w:szCs w:val="22"/>
        </w:rPr>
        <w:t>(including reduction as a result of restructures in Dorset, Somerset and Suffolk)</w:t>
      </w:r>
      <w:r w:rsidR="00894709" w:rsidRPr="00894709">
        <w:rPr>
          <w:rFonts w:ascii="Arial" w:hAnsi="Arial" w:cs="Arial"/>
          <w:szCs w:val="22"/>
        </w:rPr>
        <w:t>, with</w:t>
      </w:r>
      <w:r w:rsidR="00377B7A">
        <w:rPr>
          <w:rFonts w:ascii="Arial" w:hAnsi="Arial" w:cs="Arial"/>
          <w:szCs w:val="22"/>
        </w:rPr>
        <w:t xml:space="preserve"> a further</w:t>
      </w:r>
      <w:r w:rsidR="00894709" w:rsidRPr="00894709">
        <w:rPr>
          <w:rFonts w:ascii="Arial" w:hAnsi="Arial" w:cs="Arial"/>
          <w:szCs w:val="22"/>
        </w:rPr>
        <w:t xml:space="preserve"> £277</w:t>
      </w:r>
      <w:r w:rsidRPr="00894709">
        <w:rPr>
          <w:rFonts w:ascii="Arial" w:hAnsi="Arial" w:cs="Arial"/>
          <w:szCs w:val="22"/>
        </w:rPr>
        <w:t>,000</w:t>
      </w:r>
      <w:r>
        <w:rPr>
          <w:rFonts w:ascii="Arial" w:hAnsi="Arial" w:cs="Arial"/>
          <w:szCs w:val="22"/>
        </w:rPr>
        <w:t xml:space="preserve"> at risk if the authorities currently on notice were to withdraw from membership. </w:t>
      </w:r>
      <w:r w:rsidR="00E558F8">
        <w:rPr>
          <w:rFonts w:ascii="Arial" w:hAnsi="Arial" w:cs="Arial"/>
          <w:szCs w:val="22"/>
        </w:rPr>
        <w:t xml:space="preserve">Of course, there is a small reduction in income in real terms in each year when subscription levels are frozen. </w:t>
      </w:r>
    </w:p>
    <w:p w14:paraId="09B350D7" w14:textId="77777777" w:rsidR="006B6B14" w:rsidRPr="008E60AB" w:rsidRDefault="006B6B14" w:rsidP="006B6B14">
      <w:pPr>
        <w:pStyle w:val="MainText"/>
        <w:spacing w:line="240" w:lineRule="auto"/>
        <w:rPr>
          <w:rFonts w:ascii="Arial" w:hAnsi="Arial" w:cs="Arial"/>
          <w:szCs w:val="22"/>
        </w:rPr>
      </w:pPr>
    </w:p>
    <w:p w14:paraId="09B350D8" w14:textId="77777777" w:rsidR="006B6B14" w:rsidRPr="007B053C" w:rsidRDefault="006B6B14" w:rsidP="006B6B14">
      <w:pPr>
        <w:pStyle w:val="MainText"/>
        <w:spacing w:after="120" w:line="240" w:lineRule="auto"/>
        <w:ind w:left="992" w:hanging="635"/>
        <w:rPr>
          <w:rFonts w:ascii="Arial" w:hAnsi="Arial" w:cs="Arial"/>
          <w:b/>
          <w:szCs w:val="22"/>
        </w:rPr>
      </w:pPr>
      <w:r>
        <w:rPr>
          <w:rFonts w:ascii="Arial" w:hAnsi="Arial" w:cs="Arial"/>
          <w:b/>
          <w:szCs w:val="22"/>
        </w:rPr>
        <w:t xml:space="preserve">Option 2 - Fixed </w:t>
      </w:r>
      <w:r w:rsidRPr="007B053C">
        <w:rPr>
          <w:rFonts w:ascii="Arial" w:hAnsi="Arial" w:cs="Arial"/>
          <w:b/>
          <w:szCs w:val="22"/>
        </w:rPr>
        <w:t>1</w:t>
      </w:r>
      <w:r w:rsidR="00DA56A7">
        <w:rPr>
          <w:rFonts w:ascii="Arial" w:hAnsi="Arial" w:cs="Arial"/>
          <w:b/>
          <w:szCs w:val="22"/>
        </w:rPr>
        <w:t xml:space="preserve">% </w:t>
      </w:r>
      <w:r w:rsidRPr="007B053C">
        <w:rPr>
          <w:rFonts w:ascii="Arial" w:hAnsi="Arial" w:cs="Arial"/>
          <w:b/>
          <w:szCs w:val="22"/>
        </w:rPr>
        <w:t>increase</w:t>
      </w:r>
      <w:r>
        <w:rPr>
          <w:rFonts w:ascii="Arial" w:hAnsi="Arial" w:cs="Arial"/>
          <w:b/>
          <w:szCs w:val="22"/>
        </w:rPr>
        <w:t xml:space="preserve"> offset by corresponding increased loyalty discount.</w:t>
      </w:r>
      <w:r w:rsidRPr="007B053C">
        <w:rPr>
          <w:rFonts w:ascii="Arial" w:hAnsi="Arial" w:cs="Arial"/>
          <w:b/>
          <w:szCs w:val="22"/>
        </w:rPr>
        <w:t xml:space="preserve"> </w:t>
      </w:r>
    </w:p>
    <w:p w14:paraId="09B350D9" w14:textId="77777777" w:rsidR="006B6B14" w:rsidRPr="00EF447E" w:rsidRDefault="006B6B14" w:rsidP="006B6B14">
      <w:pPr>
        <w:numPr>
          <w:ilvl w:val="1"/>
          <w:numId w:val="1"/>
        </w:numPr>
        <w:ind w:left="993" w:hanging="633"/>
        <w:rPr>
          <w:rFonts w:ascii="Arial" w:hAnsi="Arial" w:cs="Arial"/>
          <w:szCs w:val="22"/>
          <w:u w:val="single"/>
        </w:rPr>
      </w:pPr>
      <w:r>
        <w:rPr>
          <w:rFonts w:ascii="Arial" w:hAnsi="Arial" w:cs="Arial"/>
          <w:szCs w:val="22"/>
        </w:rPr>
        <w:t>The increase in subscription would be offset by a corresponding increase in loyalty discount so there would be no impact on those councils not on notice. The benefit would</w:t>
      </w:r>
      <w:r w:rsidRPr="00A01FD0">
        <w:rPr>
          <w:rFonts w:ascii="Arial" w:hAnsi="Arial" w:cs="Arial"/>
          <w:szCs w:val="22"/>
        </w:rPr>
        <w:t xml:space="preserve"> </w:t>
      </w:r>
      <w:r>
        <w:rPr>
          <w:rFonts w:ascii="Arial" w:hAnsi="Arial" w:cs="Arial"/>
          <w:szCs w:val="22"/>
        </w:rPr>
        <w:t>be to create a greater incentive for councils not to serve notice</w:t>
      </w:r>
      <w:r w:rsidR="003E30D4">
        <w:rPr>
          <w:rFonts w:ascii="Arial" w:hAnsi="Arial" w:cs="Arial"/>
          <w:szCs w:val="22"/>
        </w:rPr>
        <w:t xml:space="preserve"> although</w:t>
      </w:r>
      <w:r w:rsidR="00377B7A">
        <w:rPr>
          <w:rFonts w:ascii="Arial" w:hAnsi="Arial" w:cs="Arial"/>
          <w:szCs w:val="22"/>
        </w:rPr>
        <w:t xml:space="preserve"> still risks being perceived as an increase in subscriptions</w:t>
      </w:r>
      <w:r>
        <w:rPr>
          <w:rFonts w:ascii="Arial" w:hAnsi="Arial" w:cs="Arial"/>
          <w:szCs w:val="22"/>
        </w:rPr>
        <w:t xml:space="preserve">. </w:t>
      </w:r>
    </w:p>
    <w:p w14:paraId="09B350DA" w14:textId="77777777" w:rsidR="006B6B14" w:rsidRDefault="006B6B14" w:rsidP="006B6B14">
      <w:pPr>
        <w:pStyle w:val="MainText"/>
        <w:spacing w:line="240" w:lineRule="auto"/>
        <w:ind w:left="1134"/>
        <w:rPr>
          <w:rFonts w:ascii="Arial" w:hAnsi="Arial" w:cs="Arial"/>
          <w:szCs w:val="22"/>
        </w:rPr>
      </w:pPr>
    </w:p>
    <w:p w14:paraId="09B350DB" w14:textId="77777777" w:rsidR="006B6B14" w:rsidRDefault="006B6B14" w:rsidP="006B6B14">
      <w:pPr>
        <w:pStyle w:val="MainText"/>
        <w:spacing w:after="120" w:line="240" w:lineRule="auto"/>
        <w:ind w:left="425"/>
        <w:rPr>
          <w:rFonts w:ascii="Arial" w:hAnsi="Arial" w:cs="Arial"/>
          <w:b/>
          <w:szCs w:val="22"/>
          <w:lang w:val="en-US"/>
        </w:rPr>
      </w:pPr>
      <w:r>
        <w:rPr>
          <w:rFonts w:ascii="Arial" w:hAnsi="Arial" w:cs="Arial"/>
          <w:b/>
          <w:szCs w:val="22"/>
        </w:rPr>
        <w:t xml:space="preserve">Option 3 </w:t>
      </w:r>
      <w:r w:rsidR="003E30D4">
        <w:rPr>
          <w:rFonts w:ascii="Arial" w:hAnsi="Arial" w:cs="Arial"/>
          <w:b/>
          <w:szCs w:val="22"/>
        </w:rPr>
        <w:t xml:space="preserve">- Percentage </w:t>
      </w:r>
      <w:r>
        <w:rPr>
          <w:rFonts w:ascii="Arial" w:hAnsi="Arial" w:cs="Arial"/>
          <w:b/>
          <w:szCs w:val="22"/>
        </w:rPr>
        <w:t>i</w:t>
      </w:r>
      <w:r w:rsidRPr="002D6DE2">
        <w:rPr>
          <w:rFonts w:ascii="Arial" w:hAnsi="Arial" w:cs="Arial"/>
          <w:b/>
          <w:szCs w:val="22"/>
        </w:rPr>
        <w:t>ncrease</w:t>
      </w:r>
      <w:r>
        <w:rPr>
          <w:rFonts w:ascii="Arial" w:hAnsi="Arial" w:cs="Arial"/>
          <w:b/>
          <w:szCs w:val="22"/>
          <w:lang w:val="en-US"/>
        </w:rPr>
        <w:t xml:space="preserve"> to arrest the continued real terms decline in value</w:t>
      </w:r>
    </w:p>
    <w:p w14:paraId="09B350DC" w14:textId="77777777" w:rsidR="006B6B14" w:rsidRPr="00DF4407" w:rsidRDefault="00E558F8" w:rsidP="006B6B14">
      <w:pPr>
        <w:numPr>
          <w:ilvl w:val="1"/>
          <w:numId w:val="1"/>
        </w:numPr>
        <w:ind w:left="993" w:hanging="633"/>
        <w:rPr>
          <w:rFonts w:ascii="Arial" w:hAnsi="Arial" w:cs="Arial"/>
          <w:szCs w:val="22"/>
        </w:rPr>
      </w:pPr>
      <w:r>
        <w:rPr>
          <w:rFonts w:ascii="Arial" w:hAnsi="Arial" w:cs="Arial"/>
          <w:szCs w:val="22"/>
          <w:lang w:val="en-US"/>
        </w:rPr>
        <w:t xml:space="preserve">For example a </w:t>
      </w:r>
      <w:r w:rsidR="00DA56A7">
        <w:rPr>
          <w:rFonts w:ascii="Arial" w:hAnsi="Arial" w:cs="Arial"/>
          <w:szCs w:val="22"/>
          <w:lang w:val="en-US"/>
        </w:rPr>
        <w:t>2%</w:t>
      </w:r>
      <w:r w:rsidR="00377B7A">
        <w:rPr>
          <w:rFonts w:ascii="Arial" w:hAnsi="Arial" w:cs="Arial"/>
          <w:szCs w:val="22"/>
          <w:lang w:val="en-US"/>
        </w:rPr>
        <w:t xml:space="preserve"> i</w:t>
      </w:r>
      <w:r>
        <w:rPr>
          <w:rFonts w:ascii="Arial" w:hAnsi="Arial" w:cs="Arial"/>
          <w:szCs w:val="22"/>
          <w:lang w:val="en-US"/>
        </w:rPr>
        <w:t>ncrease would generate about £17</w:t>
      </w:r>
      <w:r w:rsidR="00377B7A">
        <w:rPr>
          <w:rFonts w:ascii="Arial" w:hAnsi="Arial" w:cs="Arial"/>
          <w:szCs w:val="22"/>
          <w:lang w:val="en-US"/>
        </w:rPr>
        <w:t>0,000 extra income</w:t>
      </w:r>
      <w:r>
        <w:rPr>
          <w:rFonts w:ascii="Arial" w:hAnsi="Arial" w:cs="Arial"/>
          <w:szCs w:val="22"/>
          <w:lang w:val="en-US"/>
        </w:rPr>
        <w:t xml:space="preserve"> and reflect the </w:t>
      </w:r>
      <w:r w:rsidR="00DA56A7">
        <w:rPr>
          <w:rFonts w:ascii="Arial" w:hAnsi="Arial" w:cs="Arial"/>
          <w:szCs w:val="22"/>
          <w:lang w:val="en-US"/>
        </w:rPr>
        <w:t>2%</w:t>
      </w:r>
      <w:r>
        <w:rPr>
          <w:rFonts w:ascii="Arial" w:hAnsi="Arial" w:cs="Arial"/>
          <w:szCs w:val="22"/>
          <w:lang w:val="en-US"/>
        </w:rPr>
        <w:t xml:space="preserve"> pay increase awarded to staff this year</w:t>
      </w:r>
      <w:r w:rsidR="00377B7A">
        <w:rPr>
          <w:rFonts w:ascii="Arial" w:hAnsi="Arial" w:cs="Arial"/>
          <w:szCs w:val="22"/>
          <w:lang w:val="en-US"/>
        </w:rPr>
        <w:t>. However t</w:t>
      </w:r>
      <w:r w:rsidR="006B6B14">
        <w:rPr>
          <w:rFonts w:ascii="Arial" w:hAnsi="Arial" w:cs="Arial"/>
          <w:szCs w:val="22"/>
          <w:lang w:val="en-US"/>
        </w:rPr>
        <w:t>his would represent a departure from recent practice</w:t>
      </w:r>
      <w:r w:rsidR="00377B7A">
        <w:rPr>
          <w:rFonts w:ascii="Arial" w:hAnsi="Arial" w:cs="Arial"/>
          <w:szCs w:val="22"/>
          <w:lang w:val="en-US"/>
        </w:rPr>
        <w:t xml:space="preserve"> and g</w:t>
      </w:r>
      <w:r w:rsidR="006B6B14">
        <w:rPr>
          <w:rFonts w:ascii="Arial" w:hAnsi="Arial" w:cs="Arial"/>
          <w:szCs w:val="22"/>
          <w:lang w:val="en-US"/>
        </w:rPr>
        <w:t>iven the current funding challenges facing councils, would risk more councils serving notice.</w:t>
      </w:r>
    </w:p>
    <w:p w14:paraId="09B350DD" w14:textId="77777777" w:rsidR="006F58F2" w:rsidRPr="006F58F2" w:rsidRDefault="006F58F2" w:rsidP="006F58F2">
      <w:pPr>
        <w:pStyle w:val="MainText"/>
        <w:spacing w:line="240" w:lineRule="auto"/>
        <w:ind w:left="360"/>
        <w:rPr>
          <w:rFonts w:ascii="Arial" w:hAnsi="Arial" w:cs="Arial"/>
          <w:szCs w:val="22"/>
          <w:lang w:eastAsia="en-US"/>
        </w:rPr>
      </w:pPr>
    </w:p>
    <w:p w14:paraId="09B350DE" w14:textId="77777777" w:rsidR="00EF447E" w:rsidRDefault="00EF447E" w:rsidP="002D6DE2">
      <w:pPr>
        <w:pStyle w:val="MainText"/>
        <w:spacing w:line="240" w:lineRule="auto"/>
        <w:ind w:left="567" w:hanging="567"/>
        <w:rPr>
          <w:rFonts w:ascii="Arial" w:hAnsi="Arial" w:cs="Arial"/>
          <w:b/>
          <w:szCs w:val="22"/>
        </w:rPr>
      </w:pPr>
      <w:r>
        <w:rPr>
          <w:rFonts w:ascii="Arial" w:hAnsi="Arial" w:cs="Arial"/>
          <w:b/>
          <w:szCs w:val="22"/>
        </w:rPr>
        <w:t>Summary</w:t>
      </w:r>
    </w:p>
    <w:p w14:paraId="09B350DF" w14:textId="77777777" w:rsidR="00EF447E" w:rsidRPr="00EF447E" w:rsidRDefault="00EF447E" w:rsidP="002D6DE2">
      <w:pPr>
        <w:pStyle w:val="MainText"/>
        <w:spacing w:line="240" w:lineRule="auto"/>
        <w:ind w:left="567" w:hanging="567"/>
        <w:rPr>
          <w:rFonts w:ascii="Arial" w:hAnsi="Arial" w:cs="Arial"/>
          <w:szCs w:val="22"/>
        </w:rPr>
      </w:pPr>
    </w:p>
    <w:p w14:paraId="09B350E0" w14:textId="77777777" w:rsidR="00EF447E" w:rsidRDefault="00EF447E" w:rsidP="002D6DE2">
      <w:pPr>
        <w:pStyle w:val="MainText"/>
        <w:numPr>
          <w:ilvl w:val="0"/>
          <w:numId w:val="1"/>
        </w:numPr>
        <w:spacing w:line="240" w:lineRule="auto"/>
        <w:rPr>
          <w:rFonts w:ascii="Arial" w:hAnsi="Arial" w:cs="Arial"/>
          <w:szCs w:val="22"/>
        </w:rPr>
      </w:pPr>
      <w:r w:rsidRPr="00EF447E">
        <w:rPr>
          <w:rFonts w:ascii="Arial" w:hAnsi="Arial" w:cs="Arial"/>
          <w:szCs w:val="22"/>
        </w:rPr>
        <w:t>Members</w:t>
      </w:r>
      <w:r>
        <w:rPr>
          <w:rFonts w:ascii="Arial" w:hAnsi="Arial" w:cs="Arial"/>
          <w:szCs w:val="22"/>
        </w:rPr>
        <w:t xml:space="preserve"> are invited to consider</w:t>
      </w:r>
      <w:r w:rsidR="001B6AAE">
        <w:rPr>
          <w:rFonts w:ascii="Arial" w:hAnsi="Arial" w:cs="Arial"/>
          <w:szCs w:val="22"/>
        </w:rPr>
        <w:t xml:space="preserve"> </w:t>
      </w:r>
      <w:r w:rsidR="00377B7A">
        <w:rPr>
          <w:rFonts w:ascii="Arial" w:hAnsi="Arial" w:cs="Arial"/>
          <w:szCs w:val="22"/>
        </w:rPr>
        <w:t>their preferred approach to 2019/20 subscriptions.</w:t>
      </w:r>
    </w:p>
    <w:p w14:paraId="09B350E1" w14:textId="77777777" w:rsidR="006B6B14" w:rsidRDefault="006B6B14" w:rsidP="006B6B14">
      <w:pPr>
        <w:pStyle w:val="MainText"/>
        <w:spacing w:line="240" w:lineRule="auto"/>
        <w:ind w:left="360"/>
        <w:rPr>
          <w:rFonts w:ascii="Arial" w:hAnsi="Arial" w:cs="Arial"/>
          <w:szCs w:val="22"/>
        </w:rPr>
      </w:pPr>
    </w:p>
    <w:p w14:paraId="09B350E2" w14:textId="77777777" w:rsidR="00BF78CB" w:rsidRPr="00E740F2" w:rsidRDefault="00BF78CB" w:rsidP="002D6DE2">
      <w:pPr>
        <w:pStyle w:val="MainText"/>
        <w:spacing w:line="240" w:lineRule="auto"/>
        <w:ind w:left="567"/>
        <w:jc w:val="right"/>
        <w:rPr>
          <w:rFonts w:ascii="Arial" w:hAnsi="Arial" w:cs="Arial"/>
          <w:b/>
          <w:szCs w:val="22"/>
        </w:rPr>
      </w:pPr>
    </w:p>
    <w:p w14:paraId="09B350E3" w14:textId="77777777" w:rsidR="00BC642F" w:rsidRDefault="00BC642F">
      <w:pPr>
        <w:rPr>
          <w:rFonts w:ascii="Arial" w:hAnsi="Arial" w:cs="Arial"/>
          <w:b/>
          <w:sz w:val="28"/>
          <w:szCs w:val="28"/>
        </w:rPr>
      </w:pPr>
      <w:r>
        <w:rPr>
          <w:rFonts w:ascii="Arial" w:hAnsi="Arial" w:cs="Arial"/>
          <w:b/>
          <w:sz w:val="28"/>
          <w:szCs w:val="28"/>
        </w:rPr>
        <w:br w:type="page"/>
      </w:r>
    </w:p>
    <w:p w14:paraId="09B350E4" w14:textId="77777777" w:rsidR="002F05E0" w:rsidRPr="00D34812" w:rsidRDefault="00D34812" w:rsidP="002F05E0">
      <w:pPr>
        <w:spacing w:line="280" w:lineRule="exact"/>
        <w:rPr>
          <w:rFonts w:ascii="Arial" w:hAnsi="Arial" w:cs="Arial"/>
          <w:b/>
          <w:sz w:val="28"/>
          <w:szCs w:val="28"/>
        </w:rPr>
      </w:pPr>
      <w:r>
        <w:rPr>
          <w:rFonts w:ascii="Arial" w:hAnsi="Arial" w:cs="Arial"/>
          <w:b/>
          <w:sz w:val="28"/>
          <w:szCs w:val="28"/>
        </w:rPr>
        <w:lastRenderedPageBreak/>
        <w:t xml:space="preserve">Appendix A: </w:t>
      </w:r>
      <w:r w:rsidR="004002F0" w:rsidRPr="00D34812">
        <w:rPr>
          <w:rFonts w:ascii="Arial" w:hAnsi="Arial" w:cs="Arial"/>
          <w:b/>
          <w:sz w:val="28"/>
          <w:szCs w:val="28"/>
        </w:rPr>
        <w:t>LGA s</w:t>
      </w:r>
      <w:r w:rsidR="002F05E0" w:rsidRPr="00D34812">
        <w:rPr>
          <w:rFonts w:ascii="Arial" w:hAnsi="Arial" w:cs="Arial"/>
          <w:b/>
          <w:sz w:val="28"/>
          <w:szCs w:val="28"/>
        </w:rPr>
        <w:t xml:space="preserve">ubscription </w:t>
      </w:r>
      <w:r w:rsidR="004002F0" w:rsidRPr="00D34812">
        <w:rPr>
          <w:rFonts w:ascii="Arial" w:hAnsi="Arial" w:cs="Arial"/>
          <w:b/>
          <w:sz w:val="28"/>
          <w:szCs w:val="28"/>
        </w:rPr>
        <w:t>calculations</w:t>
      </w:r>
      <w:r w:rsidR="002F05E0" w:rsidRPr="00D34812">
        <w:rPr>
          <w:rFonts w:ascii="Arial" w:hAnsi="Arial" w:cs="Arial"/>
          <w:b/>
          <w:sz w:val="28"/>
          <w:szCs w:val="28"/>
        </w:rPr>
        <w:t xml:space="preserve"> </w:t>
      </w:r>
    </w:p>
    <w:p w14:paraId="09B350E5" w14:textId="77777777" w:rsidR="002F05E0" w:rsidRPr="008E60AB" w:rsidRDefault="002F05E0" w:rsidP="002F05E0">
      <w:pPr>
        <w:spacing w:line="280" w:lineRule="exac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6854"/>
      </w:tblGrid>
      <w:tr w:rsidR="002F05E0" w:rsidRPr="008E60AB" w14:paraId="09B350E8" w14:textId="77777777" w:rsidTr="00A85788">
        <w:tc>
          <w:tcPr>
            <w:tcW w:w="2207" w:type="dxa"/>
            <w:shd w:val="clear" w:color="auto" w:fill="auto"/>
          </w:tcPr>
          <w:p w14:paraId="09B350E6" w14:textId="77777777" w:rsidR="002F05E0" w:rsidRPr="008E60AB" w:rsidRDefault="002F05E0" w:rsidP="002F05E0">
            <w:pPr>
              <w:spacing w:line="280" w:lineRule="exact"/>
              <w:rPr>
                <w:rFonts w:ascii="Arial" w:hAnsi="Arial" w:cs="Arial"/>
                <w:b/>
                <w:szCs w:val="22"/>
              </w:rPr>
            </w:pPr>
            <w:r w:rsidRPr="008E60AB">
              <w:rPr>
                <w:rFonts w:ascii="Arial" w:hAnsi="Arial" w:cs="Arial"/>
                <w:b/>
                <w:szCs w:val="22"/>
              </w:rPr>
              <w:t>Type of authority</w:t>
            </w:r>
          </w:p>
        </w:tc>
        <w:tc>
          <w:tcPr>
            <w:tcW w:w="6854" w:type="dxa"/>
            <w:shd w:val="clear" w:color="auto" w:fill="auto"/>
          </w:tcPr>
          <w:p w14:paraId="09B350E7" w14:textId="77777777" w:rsidR="002F05E0" w:rsidRPr="008E60AB" w:rsidRDefault="002F05E0" w:rsidP="002F05E0">
            <w:pPr>
              <w:spacing w:line="280" w:lineRule="exact"/>
              <w:rPr>
                <w:rFonts w:ascii="Arial" w:hAnsi="Arial" w:cs="Arial"/>
                <w:b/>
                <w:szCs w:val="22"/>
              </w:rPr>
            </w:pPr>
            <w:r w:rsidRPr="008E60AB">
              <w:rPr>
                <w:rFonts w:ascii="Arial" w:hAnsi="Arial" w:cs="Arial"/>
                <w:b/>
                <w:szCs w:val="22"/>
              </w:rPr>
              <w:t>Subscription</w:t>
            </w:r>
          </w:p>
        </w:tc>
      </w:tr>
      <w:tr w:rsidR="002F05E0" w:rsidRPr="008E60AB" w14:paraId="09B350EB" w14:textId="77777777" w:rsidTr="00A85788">
        <w:tc>
          <w:tcPr>
            <w:tcW w:w="2207" w:type="dxa"/>
            <w:shd w:val="clear" w:color="auto" w:fill="auto"/>
          </w:tcPr>
          <w:p w14:paraId="09B350E9" w14:textId="77777777" w:rsidR="002F05E0" w:rsidRPr="008E60AB" w:rsidRDefault="002F05E0" w:rsidP="002F05E0">
            <w:pPr>
              <w:spacing w:line="280" w:lineRule="exact"/>
              <w:rPr>
                <w:rFonts w:ascii="Arial" w:hAnsi="Arial" w:cs="Arial"/>
                <w:szCs w:val="22"/>
              </w:rPr>
            </w:pPr>
            <w:r w:rsidRPr="008E60AB">
              <w:rPr>
                <w:rFonts w:ascii="Arial" w:hAnsi="Arial" w:cs="Arial"/>
                <w:szCs w:val="22"/>
              </w:rPr>
              <w:t>Shire District</w:t>
            </w:r>
          </w:p>
        </w:tc>
        <w:tc>
          <w:tcPr>
            <w:tcW w:w="6854" w:type="dxa"/>
            <w:shd w:val="clear" w:color="auto" w:fill="auto"/>
          </w:tcPr>
          <w:p w14:paraId="09B350EA" w14:textId="77777777" w:rsidR="002F05E0" w:rsidRPr="008E60AB" w:rsidRDefault="002F05E0" w:rsidP="002F05E0">
            <w:pPr>
              <w:spacing w:line="280" w:lineRule="exact"/>
              <w:rPr>
                <w:rFonts w:ascii="Arial" w:hAnsi="Arial" w:cs="Arial"/>
                <w:szCs w:val="22"/>
              </w:rPr>
            </w:pPr>
            <w:r w:rsidRPr="008E60AB">
              <w:rPr>
                <w:rFonts w:ascii="Arial" w:hAnsi="Arial" w:cs="Arial"/>
                <w:szCs w:val="22"/>
              </w:rPr>
              <w:t>A basic subscription of £11,000, subject to a discount of £100 for every 1,000 population below 105,000</w:t>
            </w:r>
          </w:p>
        </w:tc>
      </w:tr>
      <w:tr w:rsidR="002F05E0" w:rsidRPr="008E60AB" w14:paraId="09B350F4" w14:textId="77777777" w:rsidTr="00A85788">
        <w:tc>
          <w:tcPr>
            <w:tcW w:w="2207" w:type="dxa"/>
            <w:shd w:val="clear" w:color="auto" w:fill="auto"/>
          </w:tcPr>
          <w:p w14:paraId="09B350EC" w14:textId="77777777" w:rsidR="002F05E0" w:rsidRPr="008E60AB" w:rsidRDefault="002F05E0" w:rsidP="002F05E0">
            <w:pPr>
              <w:spacing w:line="280" w:lineRule="exact"/>
              <w:rPr>
                <w:rFonts w:ascii="Arial" w:hAnsi="Arial" w:cs="Arial"/>
                <w:szCs w:val="22"/>
              </w:rPr>
            </w:pPr>
            <w:r w:rsidRPr="008E60AB">
              <w:rPr>
                <w:rFonts w:ascii="Arial" w:hAnsi="Arial" w:cs="Arial"/>
                <w:szCs w:val="22"/>
              </w:rPr>
              <w:t>Single Tier and County Councils</w:t>
            </w:r>
          </w:p>
        </w:tc>
        <w:tc>
          <w:tcPr>
            <w:tcW w:w="6854" w:type="dxa"/>
            <w:shd w:val="clear" w:color="auto" w:fill="auto"/>
          </w:tcPr>
          <w:p w14:paraId="09B350ED" w14:textId="77777777" w:rsidR="002F05E0" w:rsidRPr="008E60AB" w:rsidRDefault="002F05E0" w:rsidP="002F05E0">
            <w:pPr>
              <w:spacing w:line="280" w:lineRule="exact"/>
              <w:rPr>
                <w:rFonts w:ascii="Arial" w:hAnsi="Arial" w:cs="Arial"/>
                <w:szCs w:val="22"/>
              </w:rPr>
            </w:pPr>
            <w:r w:rsidRPr="008E60AB">
              <w:rPr>
                <w:rFonts w:ascii="Arial" w:hAnsi="Arial" w:cs="Arial"/>
                <w:szCs w:val="22"/>
              </w:rPr>
              <w:t>A basic subscription of £82,000, subject to:</w:t>
            </w:r>
          </w:p>
          <w:p w14:paraId="09B350EE" w14:textId="77777777" w:rsidR="002F05E0" w:rsidRPr="008E60AB" w:rsidRDefault="002F05E0" w:rsidP="002F05E0">
            <w:pPr>
              <w:numPr>
                <w:ilvl w:val="0"/>
                <w:numId w:val="21"/>
              </w:numPr>
              <w:spacing w:line="280" w:lineRule="exact"/>
              <w:rPr>
                <w:rFonts w:ascii="Arial" w:hAnsi="Arial" w:cs="Arial"/>
                <w:szCs w:val="22"/>
              </w:rPr>
            </w:pPr>
            <w:r w:rsidRPr="008E60AB">
              <w:rPr>
                <w:rFonts w:ascii="Arial" w:hAnsi="Arial" w:cs="Arial"/>
                <w:szCs w:val="22"/>
              </w:rPr>
              <w:t>a supplement of £80 for every 1,000 population above 400,000</w:t>
            </w:r>
          </w:p>
          <w:p w14:paraId="09B350EF" w14:textId="77777777" w:rsidR="002F05E0" w:rsidRPr="008E60AB" w:rsidRDefault="002F05E0" w:rsidP="002F05E0">
            <w:pPr>
              <w:numPr>
                <w:ilvl w:val="0"/>
                <w:numId w:val="21"/>
              </w:numPr>
              <w:spacing w:line="280" w:lineRule="exact"/>
              <w:rPr>
                <w:rFonts w:ascii="Arial" w:hAnsi="Arial" w:cs="Arial"/>
                <w:szCs w:val="22"/>
              </w:rPr>
            </w:pPr>
            <w:r w:rsidRPr="008E60AB">
              <w:rPr>
                <w:rFonts w:ascii="Arial" w:hAnsi="Arial" w:cs="Arial"/>
                <w:szCs w:val="22"/>
              </w:rPr>
              <w:t>a discount of £200 for every 1,000 population below 400,000</w:t>
            </w:r>
          </w:p>
          <w:p w14:paraId="09B350F0" w14:textId="77777777" w:rsidR="002F05E0" w:rsidRPr="008E60AB" w:rsidRDefault="002F05E0" w:rsidP="002F05E0">
            <w:pPr>
              <w:numPr>
                <w:ilvl w:val="0"/>
                <w:numId w:val="21"/>
              </w:numPr>
              <w:spacing w:line="280" w:lineRule="exact"/>
              <w:rPr>
                <w:rFonts w:ascii="Arial" w:hAnsi="Arial" w:cs="Arial"/>
                <w:szCs w:val="22"/>
              </w:rPr>
            </w:pPr>
            <w:r w:rsidRPr="008E60AB">
              <w:rPr>
                <w:rFonts w:ascii="Arial" w:hAnsi="Arial" w:cs="Arial"/>
                <w:szCs w:val="22"/>
              </w:rPr>
              <w:t>an additional discount of £37,000 for smaller counties in two-tier areas – withdrawn at £250 per 1,000 population above 850,000</w:t>
            </w:r>
          </w:p>
          <w:p w14:paraId="09B350F1" w14:textId="77777777" w:rsidR="002F05E0" w:rsidRPr="008E60AB" w:rsidRDefault="002F05E0" w:rsidP="002F05E0">
            <w:pPr>
              <w:numPr>
                <w:ilvl w:val="0"/>
                <w:numId w:val="21"/>
              </w:numPr>
              <w:spacing w:line="280" w:lineRule="exact"/>
              <w:rPr>
                <w:rFonts w:ascii="Arial" w:hAnsi="Arial" w:cs="Arial"/>
                <w:szCs w:val="22"/>
              </w:rPr>
            </w:pPr>
            <w:r w:rsidRPr="008E60AB">
              <w:rPr>
                <w:rFonts w:ascii="Arial" w:hAnsi="Arial" w:cs="Arial"/>
                <w:szCs w:val="22"/>
              </w:rPr>
              <w:t>a maximum subscription of £112,500</w:t>
            </w:r>
          </w:p>
          <w:p w14:paraId="09B350F2" w14:textId="77777777" w:rsidR="002F05E0" w:rsidRPr="008E60AB" w:rsidRDefault="002F05E0" w:rsidP="002F05E0">
            <w:pPr>
              <w:numPr>
                <w:ilvl w:val="0"/>
                <w:numId w:val="21"/>
              </w:numPr>
              <w:spacing w:line="280" w:lineRule="exact"/>
              <w:rPr>
                <w:rFonts w:ascii="Arial" w:hAnsi="Arial" w:cs="Arial"/>
                <w:szCs w:val="22"/>
              </w:rPr>
            </w:pPr>
            <w:r w:rsidRPr="008E60AB">
              <w:rPr>
                <w:rFonts w:ascii="Arial" w:hAnsi="Arial" w:cs="Arial"/>
                <w:szCs w:val="22"/>
              </w:rPr>
              <w:t>a normal minimum subscription of £22,000; but</w:t>
            </w:r>
          </w:p>
          <w:p w14:paraId="09B350F3" w14:textId="77777777" w:rsidR="002F05E0" w:rsidRPr="008E60AB" w:rsidRDefault="002F05E0" w:rsidP="002F05E0">
            <w:pPr>
              <w:numPr>
                <w:ilvl w:val="0"/>
                <w:numId w:val="21"/>
              </w:numPr>
              <w:spacing w:line="280" w:lineRule="exact"/>
              <w:rPr>
                <w:rFonts w:ascii="Arial" w:hAnsi="Arial" w:cs="Arial"/>
                <w:szCs w:val="22"/>
              </w:rPr>
            </w:pPr>
            <w:r w:rsidRPr="008E60AB">
              <w:rPr>
                <w:rFonts w:ascii="Arial" w:hAnsi="Arial" w:cs="Arial"/>
                <w:szCs w:val="22"/>
              </w:rPr>
              <w:t xml:space="preserve">in the cases of the Isles of Scilly and Rutland County Council, subscriptions calculated so as to give an average per resident equal to that for other non-metropolitan unitary authorities. </w:t>
            </w:r>
          </w:p>
        </w:tc>
      </w:tr>
      <w:tr w:rsidR="002F05E0" w:rsidRPr="008E60AB" w14:paraId="09B350F7" w14:textId="77777777" w:rsidTr="00A85788">
        <w:tc>
          <w:tcPr>
            <w:tcW w:w="2207" w:type="dxa"/>
            <w:shd w:val="clear" w:color="auto" w:fill="auto"/>
          </w:tcPr>
          <w:p w14:paraId="09B350F5" w14:textId="77777777" w:rsidR="002F05E0" w:rsidRPr="008E60AB" w:rsidRDefault="002F05E0" w:rsidP="002F05E0">
            <w:pPr>
              <w:spacing w:line="280" w:lineRule="exact"/>
              <w:rPr>
                <w:rFonts w:ascii="Arial" w:hAnsi="Arial" w:cs="Arial"/>
                <w:szCs w:val="22"/>
              </w:rPr>
            </w:pPr>
            <w:r w:rsidRPr="008E60AB">
              <w:rPr>
                <w:rFonts w:ascii="Arial" w:hAnsi="Arial" w:cs="Arial"/>
                <w:szCs w:val="22"/>
              </w:rPr>
              <w:t>Welsh LGA</w:t>
            </w:r>
          </w:p>
        </w:tc>
        <w:tc>
          <w:tcPr>
            <w:tcW w:w="6854" w:type="dxa"/>
            <w:shd w:val="clear" w:color="auto" w:fill="auto"/>
          </w:tcPr>
          <w:p w14:paraId="09B350F6" w14:textId="77777777" w:rsidR="002F05E0" w:rsidRPr="008E60AB" w:rsidRDefault="002F05E0" w:rsidP="002F05E0">
            <w:pPr>
              <w:spacing w:line="280" w:lineRule="exact"/>
              <w:rPr>
                <w:rFonts w:ascii="Arial" w:hAnsi="Arial" w:cs="Arial"/>
                <w:szCs w:val="22"/>
              </w:rPr>
            </w:pPr>
            <w:r w:rsidRPr="008E60AB">
              <w:rPr>
                <w:rFonts w:ascii="Arial" w:hAnsi="Arial" w:cs="Arial"/>
                <w:szCs w:val="22"/>
              </w:rPr>
              <w:t>A corporate subscription of 40% the average per resident subscription for non-metropolitan unitary authorities calculated as above, multiplied by the population of Wales.</w:t>
            </w:r>
          </w:p>
        </w:tc>
      </w:tr>
      <w:tr w:rsidR="002F05E0" w:rsidRPr="008E60AB" w14:paraId="09B350FB" w14:textId="77777777" w:rsidTr="00A85788">
        <w:tc>
          <w:tcPr>
            <w:tcW w:w="2207" w:type="dxa"/>
            <w:shd w:val="clear" w:color="auto" w:fill="auto"/>
          </w:tcPr>
          <w:p w14:paraId="09B350F8" w14:textId="77777777" w:rsidR="002F05E0" w:rsidRPr="008E60AB" w:rsidRDefault="002F05E0" w:rsidP="002F05E0">
            <w:pPr>
              <w:spacing w:line="280" w:lineRule="exact"/>
              <w:rPr>
                <w:rFonts w:ascii="Arial" w:hAnsi="Arial" w:cs="Arial"/>
                <w:szCs w:val="22"/>
              </w:rPr>
            </w:pPr>
            <w:r w:rsidRPr="008E60AB">
              <w:rPr>
                <w:rFonts w:ascii="Arial" w:hAnsi="Arial" w:cs="Arial"/>
                <w:szCs w:val="22"/>
              </w:rPr>
              <w:t>Non-metropolitan unitary Councils</w:t>
            </w:r>
            <w:r w:rsidR="005D2B23">
              <w:rPr>
                <w:rFonts w:ascii="Arial" w:hAnsi="Arial" w:cs="Arial"/>
                <w:szCs w:val="22"/>
              </w:rPr>
              <w:t xml:space="preserve"> (formerly in ADC membership)</w:t>
            </w:r>
            <w:r w:rsidRPr="008E60AB">
              <w:rPr>
                <w:rFonts w:ascii="Arial" w:hAnsi="Arial" w:cs="Arial"/>
                <w:szCs w:val="22"/>
              </w:rPr>
              <w:t xml:space="preserve"> </w:t>
            </w:r>
          </w:p>
        </w:tc>
        <w:tc>
          <w:tcPr>
            <w:tcW w:w="6854" w:type="dxa"/>
            <w:shd w:val="clear" w:color="auto" w:fill="auto"/>
          </w:tcPr>
          <w:p w14:paraId="09B350F9" w14:textId="77777777" w:rsidR="002F05E0" w:rsidRPr="008E60AB" w:rsidRDefault="002F05E0" w:rsidP="002F05E0">
            <w:pPr>
              <w:spacing w:line="280" w:lineRule="exact"/>
              <w:rPr>
                <w:rFonts w:ascii="Arial" w:hAnsi="Arial" w:cs="Arial"/>
                <w:szCs w:val="22"/>
              </w:rPr>
            </w:pPr>
            <w:r w:rsidRPr="008E60AB">
              <w:rPr>
                <w:rFonts w:ascii="Arial" w:hAnsi="Arial" w:cs="Arial"/>
                <w:szCs w:val="22"/>
              </w:rPr>
              <w:t>An additional discount of 1.5% of the subscription calculated as above and:</w:t>
            </w:r>
          </w:p>
          <w:p w14:paraId="09B350FA" w14:textId="77777777" w:rsidR="002F05E0" w:rsidRPr="008E60AB" w:rsidRDefault="002F05E0" w:rsidP="002F05E0">
            <w:pPr>
              <w:numPr>
                <w:ilvl w:val="0"/>
                <w:numId w:val="21"/>
              </w:numPr>
              <w:spacing w:line="280" w:lineRule="exact"/>
              <w:rPr>
                <w:rFonts w:ascii="Arial" w:hAnsi="Arial" w:cs="Arial"/>
                <w:szCs w:val="22"/>
              </w:rPr>
            </w:pPr>
            <w:r w:rsidRPr="008E60AB">
              <w:rPr>
                <w:rFonts w:ascii="Arial" w:hAnsi="Arial" w:cs="Arial"/>
                <w:szCs w:val="22"/>
              </w:rPr>
              <w:t>continuing transitional protection for two non-metropolitan unitary authorities that would otherwise pay higher subscriptions than in 2011–12, covering the additional amount that would otherwise be payable in the absence of the new 1.5% discount</w:t>
            </w:r>
          </w:p>
        </w:tc>
      </w:tr>
      <w:tr w:rsidR="002F05E0" w:rsidRPr="008E60AB" w14:paraId="09B350FF" w14:textId="77777777" w:rsidTr="00A85788">
        <w:tc>
          <w:tcPr>
            <w:tcW w:w="2207" w:type="dxa"/>
            <w:shd w:val="clear" w:color="auto" w:fill="auto"/>
          </w:tcPr>
          <w:p w14:paraId="09B350FC" w14:textId="77777777" w:rsidR="002F05E0" w:rsidRPr="008E60AB" w:rsidRDefault="002F05E0" w:rsidP="008E0E8F">
            <w:pPr>
              <w:spacing w:line="280" w:lineRule="exact"/>
              <w:rPr>
                <w:rFonts w:ascii="Arial" w:hAnsi="Arial" w:cs="Arial"/>
                <w:szCs w:val="22"/>
              </w:rPr>
            </w:pPr>
            <w:r w:rsidRPr="008E60AB">
              <w:rPr>
                <w:rFonts w:ascii="Arial" w:hAnsi="Arial" w:cs="Arial"/>
                <w:szCs w:val="22"/>
              </w:rPr>
              <w:t xml:space="preserve">Metropolitan District Councils, London Boroughs and the City </w:t>
            </w:r>
            <w:r w:rsidR="008E0E8F">
              <w:rPr>
                <w:rFonts w:ascii="Arial" w:hAnsi="Arial" w:cs="Arial"/>
                <w:szCs w:val="22"/>
              </w:rPr>
              <w:t>of London</w:t>
            </w:r>
          </w:p>
        </w:tc>
        <w:tc>
          <w:tcPr>
            <w:tcW w:w="6854" w:type="dxa"/>
            <w:shd w:val="clear" w:color="auto" w:fill="auto"/>
          </w:tcPr>
          <w:p w14:paraId="09B350FD" w14:textId="77777777" w:rsidR="00EB3E36" w:rsidRDefault="00EB3E36" w:rsidP="00D72B07">
            <w:pPr>
              <w:spacing w:line="280" w:lineRule="exact"/>
              <w:rPr>
                <w:rFonts w:ascii="Arial" w:hAnsi="Arial" w:cs="Arial"/>
                <w:szCs w:val="22"/>
              </w:rPr>
            </w:pPr>
            <w:r>
              <w:rPr>
                <w:rFonts w:ascii="Arial" w:hAnsi="Arial" w:cs="Arial"/>
                <w:szCs w:val="22"/>
              </w:rPr>
              <w:t>As for single tier authorities (above) but subject to</w:t>
            </w:r>
          </w:p>
          <w:p w14:paraId="09B350FE" w14:textId="77777777" w:rsidR="002F05E0" w:rsidRPr="00EB3E36" w:rsidRDefault="00EB3E36" w:rsidP="009168BC">
            <w:pPr>
              <w:numPr>
                <w:ilvl w:val="0"/>
                <w:numId w:val="37"/>
              </w:numPr>
              <w:spacing w:line="280" w:lineRule="exact"/>
              <w:rPr>
                <w:rFonts w:ascii="Arial" w:hAnsi="Arial" w:cs="Arial"/>
                <w:szCs w:val="22"/>
              </w:rPr>
            </w:pPr>
            <w:r>
              <w:rPr>
                <w:rFonts w:ascii="Arial" w:hAnsi="Arial" w:cs="Arial"/>
                <w:szCs w:val="22"/>
              </w:rPr>
              <w:t>d</w:t>
            </w:r>
            <w:r w:rsidR="002F05E0" w:rsidRPr="00EB3E36">
              <w:rPr>
                <w:rFonts w:ascii="Arial" w:hAnsi="Arial" w:cs="Arial"/>
                <w:szCs w:val="22"/>
              </w:rPr>
              <w:t xml:space="preserve">iscount </w:t>
            </w:r>
            <w:r w:rsidR="00D72B07" w:rsidRPr="00EB3E36">
              <w:rPr>
                <w:rFonts w:ascii="Arial" w:hAnsi="Arial" w:cs="Arial"/>
                <w:szCs w:val="22"/>
              </w:rPr>
              <w:t>of</w:t>
            </w:r>
            <w:r w:rsidR="009168BC">
              <w:rPr>
                <w:rFonts w:ascii="Arial" w:hAnsi="Arial" w:cs="Arial"/>
                <w:szCs w:val="22"/>
              </w:rPr>
              <w:t xml:space="preserve"> </w:t>
            </w:r>
            <w:r w:rsidR="009168BC" w:rsidRPr="003A2AFD">
              <w:rPr>
                <w:rFonts w:ascii="Arial" w:hAnsi="Arial" w:cs="Arial"/>
                <w:szCs w:val="22"/>
              </w:rPr>
              <w:t>£9</w:t>
            </w:r>
            <w:r w:rsidR="002F05E0" w:rsidRPr="003A2AFD">
              <w:rPr>
                <w:rFonts w:ascii="Arial" w:hAnsi="Arial" w:cs="Arial"/>
                <w:szCs w:val="22"/>
              </w:rPr>
              <w:t>,</w:t>
            </w:r>
            <w:r w:rsidR="009168BC" w:rsidRPr="003A2AFD">
              <w:rPr>
                <w:rFonts w:ascii="Arial" w:hAnsi="Arial" w:cs="Arial"/>
                <w:szCs w:val="22"/>
              </w:rPr>
              <w:t>156</w:t>
            </w:r>
            <w:r w:rsidR="005D2B23" w:rsidRPr="00EB3E36">
              <w:rPr>
                <w:rFonts w:ascii="Arial" w:hAnsi="Arial" w:cs="Arial"/>
                <w:szCs w:val="22"/>
              </w:rPr>
              <w:t xml:space="preserve"> in recognition of interest-free investment in Local Government House</w:t>
            </w:r>
            <w:r>
              <w:rPr>
                <w:rFonts w:ascii="Arial" w:hAnsi="Arial" w:cs="Arial"/>
                <w:szCs w:val="22"/>
              </w:rPr>
              <w:t xml:space="preserve"> by the former AMA</w:t>
            </w:r>
            <w:r w:rsidR="005D2B23" w:rsidRPr="00EB3E36">
              <w:rPr>
                <w:rFonts w:ascii="Arial" w:hAnsi="Arial" w:cs="Arial"/>
                <w:szCs w:val="22"/>
              </w:rPr>
              <w:t>.</w:t>
            </w:r>
            <w:r w:rsidR="002F05E0" w:rsidRPr="00EB3E36">
              <w:rPr>
                <w:rFonts w:ascii="Arial" w:hAnsi="Arial" w:cs="Arial"/>
                <w:szCs w:val="22"/>
              </w:rPr>
              <w:t xml:space="preserve"> </w:t>
            </w:r>
          </w:p>
        </w:tc>
      </w:tr>
      <w:tr w:rsidR="002F05E0" w:rsidRPr="008E60AB" w14:paraId="09B35104" w14:textId="77777777" w:rsidTr="00A85788">
        <w:tc>
          <w:tcPr>
            <w:tcW w:w="2207" w:type="dxa"/>
            <w:shd w:val="clear" w:color="auto" w:fill="auto"/>
          </w:tcPr>
          <w:p w14:paraId="09B35100" w14:textId="77777777" w:rsidR="002F05E0" w:rsidRPr="008E60AB" w:rsidRDefault="002F05E0" w:rsidP="002F05E0">
            <w:pPr>
              <w:spacing w:line="280" w:lineRule="exact"/>
              <w:rPr>
                <w:rFonts w:ascii="Arial" w:hAnsi="Arial" w:cs="Arial"/>
                <w:szCs w:val="22"/>
              </w:rPr>
            </w:pPr>
            <w:r w:rsidRPr="008E60AB">
              <w:rPr>
                <w:rFonts w:ascii="Arial" w:hAnsi="Arial" w:cs="Arial"/>
                <w:szCs w:val="22"/>
              </w:rPr>
              <w:t>Fire authorities</w:t>
            </w:r>
          </w:p>
        </w:tc>
        <w:tc>
          <w:tcPr>
            <w:tcW w:w="6854" w:type="dxa"/>
            <w:shd w:val="clear" w:color="auto" w:fill="auto"/>
          </w:tcPr>
          <w:p w14:paraId="09B35101" w14:textId="77777777" w:rsidR="002F05E0" w:rsidRPr="008E60AB" w:rsidRDefault="002F05E0" w:rsidP="002F05E0">
            <w:pPr>
              <w:spacing w:line="280" w:lineRule="exact"/>
              <w:rPr>
                <w:rFonts w:ascii="Arial" w:hAnsi="Arial" w:cs="Arial"/>
                <w:szCs w:val="22"/>
              </w:rPr>
            </w:pPr>
            <w:r w:rsidRPr="008E60AB">
              <w:rPr>
                <w:rFonts w:ascii="Arial" w:hAnsi="Arial" w:cs="Arial"/>
                <w:szCs w:val="22"/>
              </w:rPr>
              <w:t>A basic subscription of £9,950 subject to:</w:t>
            </w:r>
          </w:p>
          <w:p w14:paraId="09B35102" w14:textId="77777777" w:rsidR="002F05E0" w:rsidRPr="008E60AB" w:rsidRDefault="002F05E0" w:rsidP="002F05E0">
            <w:pPr>
              <w:numPr>
                <w:ilvl w:val="0"/>
                <w:numId w:val="22"/>
              </w:numPr>
              <w:spacing w:line="280" w:lineRule="exact"/>
              <w:rPr>
                <w:rFonts w:ascii="Arial" w:hAnsi="Arial" w:cs="Arial"/>
                <w:szCs w:val="22"/>
              </w:rPr>
            </w:pPr>
            <w:r w:rsidRPr="008E60AB">
              <w:rPr>
                <w:rFonts w:ascii="Arial" w:hAnsi="Arial" w:cs="Arial"/>
                <w:szCs w:val="22"/>
              </w:rPr>
              <w:t>a supplement of £3.00 for every 1,000 population over 1 million</w:t>
            </w:r>
          </w:p>
          <w:p w14:paraId="09B35103" w14:textId="77777777" w:rsidR="002F05E0" w:rsidRPr="008E60AB" w:rsidRDefault="002F05E0" w:rsidP="002F05E0">
            <w:pPr>
              <w:numPr>
                <w:ilvl w:val="0"/>
                <w:numId w:val="22"/>
              </w:numPr>
              <w:spacing w:line="280" w:lineRule="exact"/>
              <w:rPr>
                <w:rFonts w:ascii="Arial" w:hAnsi="Arial" w:cs="Arial"/>
                <w:szCs w:val="22"/>
              </w:rPr>
            </w:pPr>
            <w:r w:rsidRPr="008E60AB">
              <w:rPr>
                <w:rFonts w:ascii="Arial" w:hAnsi="Arial" w:cs="Arial"/>
                <w:szCs w:val="22"/>
              </w:rPr>
              <w:t>a discount of £7.25 for every 1,000 population below 1 million</w:t>
            </w:r>
          </w:p>
        </w:tc>
      </w:tr>
      <w:tr w:rsidR="002F05E0" w:rsidRPr="008E60AB" w14:paraId="09B35107" w14:textId="77777777" w:rsidTr="00A85788">
        <w:tc>
          <w:tcPr>
            <w:tcW w:w="2207" w:type="dxa"/>
            <w:shd w:val="clear" w:color="auto" w:fill="auto"/>
          </w:tcPr>
          <w:p w14:paraId="09B35105" w14:textId="77777777" w:rsidR="002F05E0" w:rsidRPr="008E60AB" w:rsidRDefault="002F05E0" w:rsidP="002F05E0">
            <w:pPr>
              <w:spacing w:line="280" w:lineRule="exact"/>
              <w:rPr>
                <w:rFonts w:ascii="Arial" w:hAnsi="Arial" w:cs="Arial"/>
                <w:szCs w:val="22"/>
              </w:rPr>
            </w:pPr>
            <w:r w:rsidRPr="008E60AB">
              <w:rPr>
                <w:rFonts w:ascii="Arial" w:hAnsi="Arial" w:cs="Arial"/>
                <w:szCs w:val="22"/>
              </w:rPr>
              <w:t>Town and Parish councils</w:t>
            </w:r>
          </w:p>
        </w:tc>
        <w:tc>
          <w:tcPr>
            <w:tcW w:w="6854" w:type="dxa"/>
            <w:shd w:val="clear" w:color="auto" w:fill="auto"/>
          </w:tcPr>
          <w:p w14:paraId="09B35106" w14:textId="77777777" w:rsidR="002F05E0" w:rsidRPr="008E60AB" w:rsidRDefault="00655836" w:rsidP="00BC642F">
            <w:pPr>
              <w:spacing w:line="280" w:lineRule="exact"/>
              <w:rPr>
                <w:rFonts w:ascii="Arial" w:hAnsi="Arial" w:cs="Arial"/>
                <w:szCs w:val="22"/>
              </w:rPr>
            </w:pPr>
            <w:r>
              <w:rPr>
                <w:rFonts w:ascii="Arial" w:hAnsi="Arial" w:cs="Arial"/>
                <w:szCs w:val="22"/>
              </w:rPr>
              <w:t>Single corporate subscription of £</w:t>
            </w:r>
            <w:r w:rsidR="00BC642F">
              <w:rPr>
                <w:rFonts w:ascii="Arial" w:hAnsi="Arial" w:cs="Arial"/>
                <w:szCs w:val="22"/>
              </w:rPr>
              <w:t>2,375</w:t>
            </w:r>
            <w:r>
              <w:rPr>
                <w:rFonts w:ascii="Arial" w:hAnsi="Arial" w:cs="Arial"/>
                <w:szCs w:val="22"/>
              </w:rPr>
              <w:t xml:space="preserve"> via National Association of Local Councils</w:t>
            </w:r>
            <w:r w:rsidR="00BC642F">
              <w:rPr>
                <w:rFonts w:ascii="Arial" w:hAnsi="Arial" w:cs="Arial"/>
                <w:szCs w:val="22"/>
              </w:rPr>
              <w:t xml:space="preserve"> for 5 larger town and parish councils</w:t>
            </w:r>
          </w:p>
        </w:tc>
      </w:tr>
      <w:tr w:rsidR="002F05E0" w:rsidRPr="008E60AB" w14:paraId="09B3510A" w14:textId="77777777" w:rsidTr="00A85788">
        <w:tc>
          <w:tcPr>
            <w:tcW w:w="2207" w:type="dxa"/>
            <w:shd w:val="clear" w:color="auto" w:fill="auto"/>
          </w:tcPr>
          <w:p w14:paraId="09B35108" w14:textId="77777777" w:rsidR="002F05E0" w:rsidRPr="008E60AB" w:rsidRDefault="002F05E0" w:rsidP="002F05E0">
            <w:pPr>
              <w:spacing w:line="280" w:lineRule="exact"/>
              <w:rPr>
                <w:rFonts w:ascii="Arial" w:hAnsi="Arial" w:cs="Arial"/>
                <w:szCs w:val="22"/>
              </w:rPr>
            </w:pPr>
            <w:r w:rsidRPr="008E60AB">
              <w:rPr>
                <w:rFonts w:ascii="Arial" w:hAnsi="Arial" w:cs="Arial"/>
                <w:szCs w:val="22"/>
              </w:rPr>
              <w:t>All authorities</w:t>
            </w:r>
          </w:p>
        </w:tc>
        <w:tc>
          <w:tcPr>
            <w:tcW w:w="6854" w:type="dxa"/>
            <w:shd w:val="clear" w:color="auto" w:fill="auto"/>
          </w:tcPr>
          <w:p w14:paraId="09B35109" w14:textId="77777777" w:rsidR="002F05E0" w:rsidRPr="008E60AB" w:rsidRDefault="002F05E0" w:rsidP="0041779E">
            <w:pPr>
              <w:spacing w:line="280" w:lineRule="exact"/>
              <w:rPr>
                <w:rFonts w:ascii="Arial" w:hAnsi="Arial" w:cs="Arial"/>
                <w:szCs w:val="22"/>
              </w:rPr>
            </w:pPr>
            <w:r w:rsidRPr="008E60AB">
              <w:rPr>
                <w:rFonts w:ascii="Arial" w:hAnsi="Arial" w:cs="Arial"/>
                <w:szCs w:val="22"/>
              </w:rPr>
              <w:t xml:space="preserve">A prompt payment discount of 2.5% on subscriptions paid on or before 30 June </w:t>
            </w:r>
            <w:r w:rsidR="0041779E">
              <w:rPr>
                <w:rFonts w:ascii="Arial" w:hAnsi="Arial" w:cs="Arial"/>
                <w:szCs w:val="22"/>
              </w:rPr>
              <w:t xml:space="preserve">in the membership year </w:t>
            </w:r>
          </w:p>
        </w:tc>
      </w:tr>
      <w:tr w:rsidR="00A85788" w:rsidRPr="008E60AB" w14:paraId="09B3510D" w14:textId="77777777" w:rsidTr="00A85788">
        <w:tc>
          <w:tcPr>
            <w:tcW w:w="2207" w:type="dxa"/>
            <w:shd w:val="clear" w:color="auto" w:fill="auto"/>
          </w:tcPr>
          <w:p w14:paraId="09B3510B" w14:textId="77777777" w:rsidR="00A85788" w:rsidRPr="008E60AB" w:rsidRDefault="00A85788" w:rsidP="002F05E0">
            <w:pPr>
              <w:spacing w:line="280" w:lineRule="exact"/>
              <w:rPr>
                <w:rFonts w:ascii="Arial" w:hAnsi="Arial" w:cs="Arial"/>
                <w:szCs w:val="22"/>
              </w:rPr>
            </w:pPr>
            <w:r>
              <w:rPr>
                <w:rFonts w:ascii="Arial" w:hAnsi="Arial" w:cs="Arial"/>
                <w:szCs w:val="22"/>
              </w:rPr>
              <w:t>Associate members</w:t>
            </w:r>
          </w:p>
        </w:tc>
        <w:tc>
          <w:tcPr>
            <w:tcW w:w="6854" w:type="dxa"/>
            <w:shd w:val="clear" w:color="auto" w:fill="auto"/>
          </w:tcPr>
          <w:p w14:paraId="09B3510C" w14:textId="77777777" w:rsidR="00A85788" w:rsidRPr="008E60AB" w:rsidRDefault="00A85788" w:rsidP="00A85788">
            <w:pPr>
              <w:spacing w:line="280" w:lineRule="exact"/>
              <w:rPr>
                <w:rFonts w:ascii="Arial" w:hAnsi="Arial" w:cs="Arial"/>
                <w:szCs w:val="22"/>
              </w:rPr>
            </w:pPr>
            <w:r>
              <w:rPr>
                <w:rFonts w:ascii="Arial" w:hAnsi="Arial" w:cs="Arial"/>
                <w:szCs w:val="22"/>
              </w:rPr>
              <w:t>Subscriptions calculated according to size of organisation and level of support offered.</w:t>
            </w:r>
          </w:p>
        </w:tc>
      </w:tr>
    </w:tbl>
    <w:p w14:paraId="09B3510E" w14:textId="77777777" w:rsidR="002F05E0" w:rsidRPr="008E60AB" w:rsidRDefault="002F05E0" w:rsidP="002F05E0">
      <w:pPr>
        <w:rPr>
          <w:szCs w:val="22"/>
        </w:rPr>
      </w:pPr>
    </w:p>
    <w:p w14:paraId="09B3510F" w14:textId="77777777" w:rsidR="009C62D6" w:rsidRDefault="002F05E0" w:rsidP="002F05E0">
      <w:pPr>
        <w:rPr>
          <w:rFonts w:ascii="Arial" w:hAnsi="Arial" w:cs="Arial"/>
          <w:szCs w:val="22"/>
        </w:rPr>
      </w:pPr>
      <w:r w:rsidRPr="008E60AB">
        <w:rPr>
          <w:rFonts w:ascii="Arial" w:hAnsi="Arial" w:cs="Arial"/>
          <w:szCs w:val="22"/>
        </w:rPr>
        <w:t>References to populations are to Off</w:t>
      </w:r>
      <w:r w:rsidR="00872BFA" w:rsidRPr="008E60AB">
        <w:rPr>
          <w:rFonts w:ascii="Arial" w:hAnsi="Arial" w:cs="Arial"/>
          <w:szCs w:val="22"/>
        </w:rPr>
        <w:t xml:space="preserve">ice of National Statistics </w:t>
      </w:r>
      <w:r w:rsidR="00B07F73" w:rsidRPr="008E60AB">
        <w:rPr>
          <w:rFonts w:ascii="Arial" w:hAnsi="Arial" w:cs="Arial"/>
          <w:szCs w:val="22"/>
        </w:rPr>
        <w:t>mid-year e</w:t>
      </w:r>
      <w:r w:rsidRPr="008E60AB">
        <w:rPr>
          <w:rFonts w:ascii="Arial" w:hAnsi="Arial" w:cs="Arial"/>
          <w:szCs w:val="22"/>
        </w:rPr>
        <w:t>stimates.</w:t>
      </w:r>
    </w:p>
    <w:p w14:paraId="09B35110" w14:textId="77777777" w:rsidR="007E06C7" w:rsidRPr="00FF7625" w:rsidRDefault="00215200" w:rsidP="00215200">
      <w:pPr>
        <w:jc w:val="right"/>
        <w:rPr>
          <w:rFonts w:ascii="Arial" w:hAnsi="Arial" w:cs="Arial"/>
          <w:b/>
          <w:szCs w:val="22"/>
          <w:highlight w:val="yellow"/>
        </w:rPr>
      </w:pPr>
      <w:r w:rsidRPr="00FF7625">
        <w:rPr>
          <w:rFonts w:ascii="Arial" w:hAnsi="Arial" w:cs="Arial"/>
          <w:b/>
          <w:szCs w:val="22"/>
          <w:highlight w:val="yellow"/>
        </w:rPr>
        <w:t xml:space="preserve"> </w:t>
      </w:r>
    </w:p>
    <w:p w14:paraId="09B35111" w14:textId="77777777" w:rsidR="007E06C7" w:rsidRDefault="007E06C7" w:rsidP="002F05E0">
      <w:pPr>
        <w:rPr>
          <w:rFonts w:ascii="Arial" w:hAnsi="Arial" w:cs="Arial"/>
          <w:b/>
          <w:szCs w:val="22"/>
        </w:rPr>
      </w:pPr>
    </w:p>
    <w:sectPr w:rsidR="007E06C7" w:rsidSect="007C2BC2">
      <w:pgSz w:w="11907" w:h="16840" w:code="9"/>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35114" w14:textId="77777777" w:rsidR="00BB3718" w:rsidRDefault="00BB3718">
      <w:r>
        <w:separator/>
      </w:r>
    </w:p>
  </w:endnote>
  <w:endnote w:type="continuationSeparator" w:id="0">
    <w:p w14:paraId="09B35115" w14:textId="77777777" w:rsidR="00BB3718" w:rsidRDefault="00BB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Vrinda"/>
    <w:panose1 w:val="020B0800000000000000"/>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5120" w14:textId="77777777" w:rsidR="00DA56A7" w:rsidRDefault="00DA56A7">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35112" w14:textId="77777777" w:rsidR="00BB3718" w:rsidRDefault="00BB3718">
      <w:r>
        <w:separator/>
      </w:r>
    </w:p>
  </w:footnote>
  <w:footnote w:type="continuationSeparator" w:id="0">
    <w:p w14:paraId="09B35113" w14:textId="77777777" w:rsidR="00BB3718" w:rsidRDefault="00BB3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39"/>
      <w:gridCol w:w="3432"/>
    </w:tblGrid>
    <w:tr w:rsidR="00DA56A7" w14:paraId="09B35118" w14:textId="77777777" w:rsidTr="0079133C">
      <w:tc>
        <w:tcPr>
          <w:tcW w:w="5778" w:type="dxa"/>
          <w:vMerge w:val="restart"/>
        </w:tcPr>
        <w:p w14:paraId="09B35116" w14:textId="77777777" w:rsidR="00DA56A7" w:rsidRPr="00506E39" w:rsidRDefault="00DA56A7">
          <w:pPr>
            <w:pStyle w:val="Header"/>
            <w:rPr>
              <w:szCs w:val="22"/>
            </w:rPr>
          </w:pPr>
          <w:r w:rsidRPr="00506E39">
            <w:rPr>
              <w:rFonts w:ascii="Arial" w:hAnsi="Arial" w:cs="Arial"/>
              <w:noProof/>
              <w:szCs w:val="22"/>
            </w:rPr>
            <w:drawing>
              <wp:inline distT="0" distB="0" distL="0" distR="0" wp14:anchorId="09B3512E" wp14:editId="09B3512F">
                <wp:extent cx="1086485" cy="642620"/>
                <wp:effectExtent l="0" t="0" r="5715"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642620"/>
                        </a:xfrm>
                        <a:prstGeom prst="rect">
                          <a:avLst/>
                        </a:prstGeom>
                        <a:noFill/>
                        <a:ln>
                          <a:noFill/>
                        </a:ln>
                      </pic:spPr>
                    </pic:pic>
                  </a:graphicData>
                </a:graphic>
              </wp:inline>
            </w:drawing>
          </w:r>
        </w:p>
      </w:tc>
      <w:tc>
        <w:tcPr>
          <w:tcW w:w="3509" w:type="dxa"/>
        </w:tcPr>
        <w:p w14:paraId="09B35117" w14:textId="77777777" w:rsidR="00DA56A7" w:rsidRPr="00506E39" w:rsidRDefault="00DA56A7" w:rsidP="009C44E5">
          <w:pPr>
            <w:pStyle w:val="Header"/>
            <w:rPr>
              <w:b/>
              <w:szCs w:val="22"/>
            </w:rPr>
          </w:pPr>
          <w:r w:rsidRPr="00506E39">
            <w:rPr>
              <w:rFonts w:ascii="Arial" w:hAnsi="Arial" w:cs="Arial"/>
              <w:b/>
              <w:szCs w:val="22"/>
            </w:rPr>
            <w:t>LGA Leadership Board</w:t>
          </w:r>
        </w:p>
      </w:tc>
    </w:tr>
    <w:tr w:rsidR="00DA56A7" w14:paraId="09B3511B" w14:textId="77777777" w:rsidTr="0079133C">
      <w:trPr>
        <w:trHeight w:val="450"/>
      </w:trPr>
      <w:tc>
        <w:tcPr>
          <w:tcW w:w="5778" w:type="dxa"/>
          <w:vMerge/>
        </w:tcPr>
        <w:p w14:paraId="09B35119" w14:textId="77777777" w:rsidR="00DA56A7" w:rsidRPr="00506E39" w:rsidRDefault="00DA56A7">
          <w:pPr>
            <w:pStyle w:val="Header"/>
            <w:rPr>
              <w:szCs w:val="22"/>
            </w:rPr>
          </w:pPr>
        </w:p>
      </w:tc>
      <w:tc>
        <w:tcPr>
          <w:tcW w:w="3509" w:type="dxa"/>
        </w:tcPr>
        <w:p w14:paraId="09B3511A" w14:textId="77777777" w:rsidR="00DA56A7" w:rsidRPr="00506E39" w:rsidRDefault="00DA56A7" w:rsidP="00D54A8F">
          <w:pPr>
            <w:pStyle w:val="Header"/>
            <w:spacing w:before="60"/>
            <w:rPr>
              <w:rFonts w:ascii="Arial" w:hAnsi="Arial" w:cs="Arial"/>
              <w:szCs w:val="22"/>
            </w:rPr>
          </w:pPr>
          <w:r>
            <w:rPr>
              <w:rFonts w:ascii="Arial" w:hAnsi="Arial" w:cs="Arial"/>
              <w:szCs w:val="22"/>
            </w:rPr>
            <w:t>17 October 2018</w:t>
          </w:r>
        </w:p>
      </w:tc>
    </w:tr>
    <w:tr w:rsidR="00DA56A7" w14:paraId="09B3511E" w14:textId="77777777" w:rsidTr="0079133C">
      <w:trPr>
        <w:trHeight w:val="450"/>
      </w:trPr>
      <w:tc>
        <w:tcPr>
          <w:tcW w:w="5778" w:type="dxa"/>
          <w:vMerge/>
        </w:tcPr>
        <w:p w14:paraId="09B3511C" w14:textId="77777777" w:rsidR="00DA56A7" w:rsidRPr="00506E39" w:rsidRDefault="00DA56A7">
          <w:pPr>
            <w:pStyle w:val="Header"/>
            <w:rPr>
              <w:szCs w:val="22"/>
            </w:rPr>
          </w:pPr>
        </w:p>
      </w:tc>
      <w:tc>
        <w:tcPr>
          <w:tcW w:w="3509" w:type="dxa"/>
          <w:vAlign w:val="bottom"/>
        </w:tcPr>
        <w:p w14:paraId="09B3511D" w14:textId="77777777" w:rsidR="00DA56A7" w:rsidRPr="00506E39" w:rsidRDefault="00DA56A7" w:rsidP="00E740F2">
          <w:pPr>
            <w:pStyle w:val="Header"/>
            <w:spacing w:before="60"/>
            <w:rPr>
              <w:rFonts w:ascii="Arial" w:hAnsi="Arial" w:cs="Arial"/>
              <w:b/>
              <w:szCs w:val="22"/>
            </w:rPr>
          </w:pPr>
        </w:p>
      </w:tc>
    </w:tr>
  </w:tbl>
  <w:p w14:paraId="09B3511F" w14:textId="77777777" w:rsidR="00DA56A7" w:rsidRDefault="00DA5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5121" w14:textId="77777777" w:rsidR="00DA56A7" w:rsidRDefault="00DA56A7" w:rsidP="00E64FBC">
    <w:pPr>
      <w:pStyle w:val="Header"/>
      <w:rPr>
        <w:sz w:val="2"/>
      </w:rPr>
    </w:pPr>
  </w:p>
  <w:p w14:paraId="09B35122" w14:textId="77777777" w:rsidR="00DA56A7" w:rsidRDefault="00DA56A7" w:rsidP="00E64FBC">
    <w:pPr>
      <w:pStyle w:val="Header"/>
      <w:rPr>
        <w:sz w:val="2"/>
      </w:rPr>
    </w:pPr>
  </w:p>
  <w:tbl>
    <w:tblPr>
      <w:tblW w:w="0" w:type="auto"/>
      <w:tblLook w:val="01E0" w:firstRow="1" w:lastRow="1" w:firstColumn="1" w:lastColumn="1" w:noHBand="0" w:noVBand="0"/>
    </w:tblPr>
    <w:tblGrid>
      <w:gridCol w:w="5912"/>
      <w:gridCol w:w="3159"/>
    </w:tblGrid>
    <w:tr w:rsidR="00DA56A7" w:rsidRPr="0079133C" w14:paraId="09B35125" w14:textId="77777777" w:rsidTr="0079133C">
      <w:tc>
        <w:tcPr>
          <w:tcW w:w="6062" w:type="dxa"/>
          <w:vMerge w:val="restart"/>
        </w:tcPr>
        <w:p w14:paraId="09B35123" w14:textId="77777777" w:rsidR="00DA56A7" w:rsidRPr="00506E39" w:rsidRDefault="00DA56A7" w:rsidP="0079133C">
          <w:pPr>
            <w:pStyle w:val="Header"/>
            <w:tabs>
              <w:tab w:val="clear" w:pos="4153"/>
              <w:tab w:val="clear" w:pos="8306"/>
              <w:tab w:val="center" w:pos="2923"/>
            </w:tabs>
            <w:rPr>
              <w:szCs w:val="22"/>
            </w:rPr>
          </w:pPr>
          <w:r w:rsidRPr="00506E39">
            <w:rPr>
              <w:rFonts w:ascii="Arial" w:hAnsi="Arial" w:cs="Arial"/>
              <w:noProof/>
              <w:szCs w:val="22"/>
            </w:rPr>
            <w:drawing>
              <wp:inline distT="0" distB="0" distL="0" distR="0" wp14:anchorId="09B35130" wp14:editId="09B35131">
                <wp:extent cx="1086485" cy="642620"/>
                <wp:effectExtent l="0" t="0" r="5715"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642620"/>
                        </a:xfrm>
                        <a:prstGeom prst="rect">
                          <a:avLst/>
                        </a:prstGeom>
                        <a:noFill/>
                        <a:ln>
                          <a:noFill/>
                        </a:ln>
                      </pic:spPr>
                    </pic:pic>
                  </a:graphicData>
                </a:graphic>
              </wp:inline>
            </w:drawing>
          </w:r>
        </w:p>
      </w:tc>
      <w:tc>
        <w:tcPr>
          <w:tcW w:w="3225" w:type="dxa"/>
        </w:tcPr>
        <w:p w14:paraId="09B35124" w14:textId="77777777" w:rsidR="00DA56A7" w:rsidRPr="00506E39" w:rsidRDefault="00DA56A7" w:rsidP="00546D0D">
          <w:pPr>
            <w:pStyle w:val="Header"/>
            <w:rPr>
              <w:b/>
              <w:szCs w:val="22"/>
            </w:rPr>
          </w:pPr>
          <w:r w:rsidRPr="00506E39">
            <w:rPr>
              <w:rFonts w:ascii="Arial" w:hAnsi="Arial" w:cs="Arial"/>
              <w:b/>
              <w:szCs w:val="22"/>
            </w:rPr>
            <w:t>LGA Leadership Board</w:t>
          </w:r>
        </w:p>
      </w:tc>
    </w:tr>
    <w:tr w:rsidR="00DA56A7" w14:paraId="09B35128" w14:textId="77777777" w:rsidTr="0079133C">
      <w:trPr>
        <w:trHeight w:val="450"/>
      </w:trPr>
      <w:tc>
        <w:tcPr>
          <w:tcW w:w="6062" w:type="dxa"/>
          <w:vMerge/>
        </w:tcPr>
        <w:p w14:paraId="09B35126" w14:textId="77777777" w:rsidR="00DA56A7" w:rsidRPr="00506E39" w:rsidRDefault="00DA56A7" w:rsidP="00546D0D">
          <w:pPr>
            <w:pStyle w:val="Header"/>
            <w:rPr>
              <w:szCs w:val="22"/>
            </w:rPr>
          </w:pPr>
        </w:p>
      </w:tc>
      <w:tc>
        <w:tcPr>
          <w:tcW w:w="3225" w:type="dxa"/>
        </w:tcPr>
        <w:p w14:paraId="09B35127" w14:textId="77777777" w:rsidR="00DA56A7" w:rsidRPr="00506E39" w:rsidRDefault="00DA56A7" w:rsidP="004959F2">
          <w:pPr>
            <w:pStyle w:val="Header"/>
            <w:spacing w:before="60"/>
            <w:rPr>
              <w:rFonts w:ascii="Arial" w:hAnsi="Arial" w:cs="Arial"/>
              <w:szCs w:val="22"/>
            </w:rPr>
          </w:pPr>
          <w:r>
            <w:rPr>
              <w:rFonts w:ascii="Arial" w:hAnsi="Arial" w:cs="Arial"/>
              <w:szCs w:val="22"/>
            </w:rPr>
            <w:t>17 October 2018</w:t>
          </w:r>
        </w:p>
      </w:tc>
    </w:tr>
    <w:tr w:rsidR="00DA56A7" w14:paraId="09B3512C" w14:textId="77777777" w:rsidTr="0079133C">
      <w:trPr>
        <w:trHeight w:val="450"/>
      </w:trPr>
      <w:tc>
        <w:tcPr>
          <w:tcW w:w="6062" w:type="dxa"/>
          <w:vMerge/>
        </w:tcPr>
        <w:p w14:paraId="09B35129" w14:textId="77777777" w:rsidR="00DA56A7" w:rsidRDefault="00DA56A7" w:rsidP="00546D0D">
          <w:pPr>
            <w:pStyle w:val="Header"/>
          </w:pPr>
        </w:p>
      </w:tc>
      <w:tc>
        <w:tcPr>
          <w:tcW w:w="3225" w:type="dxa"/>
        </w:tcPr>
        <w:p w14:paraId="09B3512A" w14:textId="77777777" w:rsidR="00DA56A7" w:rsidRPr="0079133C" w:rsidRDefault="00DA56A7" w:rsidP="0079133C">
          <w:pPr>
            <w:pStyle w:val="Header"/>
            <w:spacing w:before="60"/>
            <w:rPr>
              <w:rFonts w:ascii="Arial" w:hAnsi="Arial" w:cs="Arial"/>
              <w:b/>
              <w:sz w:val="24"/>
              <w:szCs w:val="24"/>
            </w:rPr>
          </w:pPr>
        </w:p>
        <w:p w14:paraId="09B3512B" w14:textId="77777777" w:rsidR="00DA56A7" w:rsidRPr="0079133C" w:rsidRDefault="00DA56A7" w:rsidP="0079133C">
          <w:pPr>
            <w:pStyle w:val="Header"/>
            <w:spacing w:before="60"/>
            <w:rPr>
              <w:rFonts w:ascii="Arial" w:hAnsi="Arial" w:cs="Arial"/>
              <w:b/>
              <w:sz w:val="24"/>
              <w:szCs w:val="24"/>
            </w:rPr>
          </w:pPr>
        </w:p>
      </w:tc>
    </w:tr>
  </w:tbl>
  <w:p w14:paraId="09B3512D" w14:textId="77777777" w:rsidR="00DA56A7" w:rsidRDefault="00DA56A7" w:rsidP="00E64F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25pt;height:75pt" o:bullet="t">
        <v:imagedata r:id="rId1" o:title=""/>
      </v:shape>
    </w:pict>
  </w:numPicBullet>
  <w:abstractNum w:abstractNumId="0" w15:restartNumberingAfterBreak="0">
    <w:nsid w:val="08AC5FDC"/>
    <w:multiLevelType w:val="hybridMultilevel"/>
    <w:tmpl w:val="9438B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B770D3"/>
    <w:multiLevelType w:val="multilevel"/>
    <w:tmpl w:val="55B6B9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E70552"/>
    <w:multiLevelType w:val="hybridMultilevel"/>
    <w:tmpl w:val="AA6A1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018FB"/>
    <w:multiLevelType w:val="multilevel"/>
    <w:tmpl w:val="F2DC9F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843A9D"/>
    <w:multiLevelType w:val="multilevel"/>
    <w:tmpl w:val="9DCC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B3A5D"/>
    <w:multiLevelType w:val="hybridMultilevel"/>
    <w:tmpl w:val="9910852C"/>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6" w15:restartNumberingAfterBreak="0">
    <w:nsid w:val="1C7435EA"/>
    <w:multiLevelType w:val="multilevel"/>
    <w:tmpl w:val="10DE92D0"/>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0190F29"/>
    <w:multiLevelType w:val="hybridMultilevel"/>
    <w:tmpl w:val="38883404"/>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D811DF"/>
    <w:multiLevelType w:val="hybridMultilevel"/>
    <w:tmpl w:val="BC269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D105A"/>
    <w:multiLevelType w:val="hybridMultilevel"/>
    <w:tmpl w:val="E0769D1E"/>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0" w15:restartNumberingAfterBreak="0">
    <w:nsid w:val="25DD365D"/>
    <w:multiLevelType w:val="hybridMultilevel"/>
    <w:tmpl w:val="9662D50C"/>
    <w:lvl w:ilvl="0" w:tplc="B73E69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E7A66"/>
    <w:multiLevelType w:val="multilevel"/>
    <w:tmpl w:val="F58804D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FE64905"/>
    <w:multiLevelType w:val="hybridMultilevel"/>
    <w:tmpl w:val="FADA15D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3512A7"/>
    <w:multiLevelType w:val="hybridMultilevel"/>
    <w:tmpl w:val="94BC6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6D30DE9"/>
    <w:multiLevelType w:val="hybridMultilevel"/>
    <w:tmpl w:val="9F0AB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F070D2"/>
    <w:multiLevelType w:val="multilevel"/>
    <w:tmpl w:val="DB18E0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C751222"/>
    <w:multiLevelType w:val="hybridMultilevel"/>
    <w:tmpl w:val="DEFA9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20726"/>
    <w:multiLevelType w:val="multilevel"/>
    <w:tmpl w:val="C09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97B79"/>
    <w:multiLevelType w:val="multilevel"/>
    <w:tmpl w:val="50228DCA"/>
    <w:lvl w:ilvl="0">
      <w:start w:val="29"/>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7D3206A"/>
    <w:multiLevelType w:val="multilevel"/>
    <w:tmpl w:val="3888340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8DC6F50"/>
    <w:multiLevelType w:val="multilevel"/>
    <w:tmpl w:val="29C609F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9BA2F45"/>
    <w:multiLevelType w:val="multilevel"/>
    <w:tmpl w:val="7226A516"/>
    <w:lvl w:ilvl="0">
      <w:start w:val="28"/>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9D9513B"/>
    <w:multiLevelType w:val="hybridMultilevel"/>
    <w:tmpl w:val="90883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641BA0"/>
    <w:multiLevelType w:val="multilevel"/>
    <w:tmpl w:val="DB18E0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B0E10D8"/>
    <w:multiLevelType w:val="multilevel"/>
    <w:tmpl w:val="1310A6B2"/>
    <w:lvl w:ilvl="0">
      <w:start w:val="1"/>
      <w:numFmt w:val="decimal"/>
      <w:lvlText w:val="28.%1"/>
      <w:lvlJc w:val="left"/>
      <w:pPr>
        <w:tabs>
          <w:tab w:val="num" w:pos="567"/>
        </w:tabs>
        <w:ind w:left="1134" w:hanging="567"/>
      </w:pPr>
      <w:rPr>
        <w:rFonts w:hint="default"/>
      </w:rPr>
    </w:lvl>
    <w:lvl w:ilvl="1">
      <w:start w:val="1"/>
      <w:numFmt w:val="decimal"/>
      <w:lvlText w:val="27.%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BF833F2"/>
    <w:multiLevelType w:val="multilevel"/>
    <w:tmpl w:val="EF96E7C8"/>
    <w:lvl w:ilvl="0">
      <w:start w:val="28"/>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C0A563F"/>
    <w:multiLevelType w:val="multilevel"/>
    <w:tmpl w:val="C04231CA"/>
    <w:lvl w:ilvl="0">
      <w:start w:val="1"/>
      <w:numFmt w:val="decimal"/>
      <w:lvlText w:val="12.%1"/>
      <w:lvlJc w:val="left"/>
      <w:pPr>
        <w:tabs>
          <w:tab w:val="num" w:pos="567"/>
        </w:tabs>
        <w:ind w:left="1134" w:hanging="567"/>
      </w:pPr>
      <w:rPr>
        <w:rFonts w:hint="default"/>
      </w:rPr>
    </w:lvl>
    <w:lvl w:ilvl="1">
      <w:start w:val="1"/>
      <w:numFmt w:val="decimal"/>
      <w:lvlText w:val="9.%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C186B2D"/>
    <w:multiLevelType w:val="hybridMultilevel"/>
    <w:tmpl w:val="B590FD28"/>
    <w:lvl w:ilvl="0" w:tplc="99805D1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84318B"/>
    <w:multiLevelType w:val="hybridMultilevel"/>
    <w:tmpl w:val="ABD2099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516148"/>
    <w:multiLevelType w:val="hybridMultilevel"/>
    <w:tmpl w:val="8472A4D0"/>
    <w:lvl w:ilvl="0" w:tplc="08090001">
      <w:start w:val="1"/>
      <w:numFmt w:val="bullet"/>
      <w:lvlText w:val=""/>
      <w:lvlJc w:val="left"/>
      <w:pPr>
        <w:ind w:left="2164" w:hanging="735"/>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456ACB"/>
    <w:multiLevelType w:val="multilevel"/>
    <w:tmpl w:val="73CCEE94"/>
    <w:lvl w:ilvl="0">
      <w:start w:val="32"/>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4383869"/>
    <w:multiLevelType w:val="multilevel"/>
    <w:tmpl w:val="421C989C"/>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5E274C3"/>
    <w:multiLevelType w:val="multilevel"/>
    <w:tmpl w:val="28E06448"/>
    <w:lvl w:ilvl="0">
      <w:start w:val="1"/>
      <w:numFmt w:val="decimal"/>
      <w:lvlText w:val="12.%1"/>
      <w:lvlJc w:val="left"/>
      <w:pPr>
        <w:tabs>
          <w:tab w:val="num" w:pos="567"/>
        </w:tabs>
        <w:ind w:left="1134" w:hanging="567"/>
      </w:pPr>
      <w:rPr>
        <w:rFonts w:hint="default"/>
      </w:rPr>
    </w:lvl>
    <w:lvl w:ilvl="1">
      <w:start w:val="1"/>
      <w:numFmt w:val="decimal"/>
      <w:lvlText w:val="27.%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7F50FEE"/>
    <w:multiLevelType w:val="multilevel"/>
    <w:tmpl w:val="F2DC9F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A9B441A"/>
    <w:multiLevelType w:val="hybridMultilevel"/>
    <w:tmpl w:val="BDDAF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C7416C"/>
    <w:multiLevelType w:val="hybridMultilevel"/>
    <w:tmpl w:val="254677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B593FDD"/>
    <w:multiLevelType w:val="multilevel"/>
    <w:tmpl w:val="951C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0C1415"/>
    <w:multiLevelType w:val="hybridMultilevel"/>
    <w:tmpl w:val="5C6E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014C48"/>
    <w:multiLevelType w:val="hybridMultilevel"/>
    <w:tmpl w:val="6E88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87F48"/>
    <w:multiLevelType w:val="multilevel"/>
    <w:tmpl w:val="838C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015465"/>
    <w:multiLevelType w:val="hybridMultilevel"/>
    <w:tmpl w:val="6714D50E"/>
    <w:lvl w:ilvl="0" w:tplc="B73E69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3C2E13"/>
    <w:multiLevelType w:val="multilevel"/>
    <w:tmpl w:val="421C989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E950875"/>
    <w:multiLevelType w:val="multilevel"/>
    <w:tmpl w:val="1310A6B2"/>
    <w:lvl w:ilvl="0">
      <w:start w:val="1"/>
      <w:numFmt w:val="decimal"/>
      <w:lvlText w:val="28.%1"/>
      <w:lvlJc w:val="left"/>
      <w:pPr>
        <w:tabs>
          <w:tab w:val="num" w:pos="567"/>
        </w:tabs>
        <w:ind w:left="1134" w:hanging="567"/>
      </w:pPr>
      <w:rPr>
        <w:rFonts w:hint="default"/>
      </w:rPr>
    </w:lvl>
    <w:lvl w:ilvl="1">
      <w:start w:val="1"/>
      <w:numFmt w:val="decimal"/>
      <w:lvlText w:val="27.%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2491E09"/>
    <w:multiLevelType w:val="hybridMultilevel"/>
    <w:tmpl w:val="E304CB9A"/>
    <w:lvl w:ilvl="0" w:tplc="99805D1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36002AD"/>
    <w:multiLevelType w:val="multilevel"/>
    <w:tmpl w:val="04FA5212"/>
    <w:lvl w:ilvl="0">
      <w:start w:val="1"/>
      <w:numFmt w:val="decimal"/>
      <w:lvlText w:val="26.%1"/>
      <w:lvlJc w:val="left"/>
      <w:pPr>
        <w:tabs>
          <w:tab w:val="num" w:pos="567"/>
        </w:tabs>
        <w:ind w:left="1134" w:hanging="567"/>
      </w:pPr>
      <w:rPr>
        <w:rFonts w:hint="default"/>
      </w:rPr>
    </w:lvl>
    <w:lvl w:ilvl="1">
      <w:start w:val="1"/>
      <w:numFmt w:val="decimal"/>
      <w:lvlText w:val="27.%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94934A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3E6FF3"/>
    <w:multiLevelType w:val="multilevel"/>
    <w:tmpl w:val="F2DC9F3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AC816EB"/>
    <w:multiLevelType w:val="hybridMultilevel"/>
    <w:tmpl w:val="F5E4B7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5"/>
  </w:num>
  <w:num w:numId="2">
    <w:abstractNumId w:val="12"/>
  </w:num>
  <w:num w:numId="3">
    <w:abstractNumId w:val="7"/>
  </w:num>
  <w:num w:numId="4">
    <w:abstractNumId w:val="19"/>
  </w:num>
  <w:num w:numId="5">
    <w:abstractNumId w:val="26"/>
  </w:num>
  <w:num w:numId="6">
    <w:abstractNumId w:val="32"/>
  </w:num>
  <w:num w:numId="7">
    <w:abstractNumId w:val="24"/>
  </w:num>
  <w:num w:numId="8">
    <w:abstractNumId w:val="15"/>
  </w:num>
  <w:num w:numId="9">
    <w:abstractNumId w:val="23"/>
  </w:num>
  <w:num w:numId="10">
    <w:abstractNumId w:val="44"/>
  </w:num>
  <w:num w:numId="11">
    <w:abstractNumId w:val="42"/>
  </w:num>
  <w:num w:numId="12">
    <w:abstractNumId w:val="20"/>
  </w:num>
  <w:num w:numId="13">
    <w:abstractNumId w:val="30"/>
  </w:num>
  <w:num w:numId="14">
    <w:abstractNumId w:val="28"/>
  </w:num>
  <w:num w:numId="15">
    <w:abstractNumId w:val="11"/>
  </w:num>
  <w:num w:numId="16">
    <w:abstractNumId w:val="1"/>
  </w:num>
  <w:num w:numId="17">
    <w:abstractNumId w:val="21"/>
  </w:num>
  <w:num w:numId="18">
    <w:abstractNumId w:val="16"/>
  </w:num>
  <w:num w:numId="19">
    <w:abstractNumId w:val="13"/>
  </w:num>
  <w:num w:numId="20">
    <w:abstractNumId w:val="0"/>
  </w:num>
  <w:num w:numId="21">
    <w:abstractNumId w:val="43"/>
  </w:num>
  <w:num w:numId="22">
    <w:abstractNumId w:val="27"/>
  </w:num>
  <w:num w:numId="23">
    <w:abstractNumId w:val="18"/>
  </w:num>
  <w:num w:numId="24">
    <w:abstractNumId w:val="25"/>
  </w:num>
  <w:num w:numId="25">
    <w:abstractNumId w:val="3"/>
  </w:num>
  <w:num w:numId="26">
    <w:abstractNumId w:val="46"/>
  </w:num>
  <w:num w:numId="27">
    <w:abstractNumId w:val="33"/>
  </w:num>
  <w:num w:numId="28">
    <w:abstractNumId w:val="40"/>
  </w:num>
  <w:num w:numId="29">
    <w:abstractNumId w:val="10"/>
  </w:num>
  <w:num w:numId="30">
    <w:abstractNumId w:val="2"/>
  </w:num>
  <w:num w:numId="31">
    <w:abstractNumId w:val="37"/>
  </w:num>
  <w:num w:numId="32">
    <w:abstractNumId w:val="5"/>
  </w:num>
  <w:num w:numId="33">
    <w:abstractNumId w:val="41"/>
  </w:num>
  <w:num w:numId="34">
    <w:abstractNumId w:val="22"/>
  </w:num>
  <w:num w:numId="35">
    <w:abstractNumId w:val="17"/>
  </w:num>
  <w:num w:numId="36">
    <w:abstractNumId w:val="31"/>
  </w:num>
  <w:num w:numId="37">
    <w:abstractNumId w:val="14"/>
  </w:num>
  <w:num w:numId="38">
    <w:abstractNumId w:val="4"/>
  </w:num>
  <w:num w:numId="39">
    <w:abstractNumId w:val="6"/>
  </w:num>
  <w:num w:numId="40">
    <w:abstractNumId w:val="9"/>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8"/>
  </w:num>
  <w:num w:numId="44">
    <w:abstractNumId w:val="34"/>
  </w:num>
  <w:num w:numId="45">
    <w:abstractNumId w:val="35"/>
  </w:num>
  <w:num w:numId="46">
    <w:abstractNumId w:val="36"/>
  </w:num>
  <w:num w:numId="47">
    <w:abstractNumId w:val="39"/>
  </w:num>
  <w:num w:numId="48">
    <w:abstractNumId w:val="47"/>
  </w:num>
  <w:num w:numId="49">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9C"/>
    <w:rsid w:val="00000460"/>
    <w:rsid w:val="00001174"/>
    <w:rsid w:val="00001AAC"/>
    <w:rsid w:val="00007940"/>
    <w:rsid w:val="000109D3"/>
    <w:rsid w:val="00011E01"/>
    <w:rsid w:val="00022720"/>
    <w:rsid w:val="000238C2"/>
    <w:rsid w:val="00024180"/>
    <w:rsid w:val="00025C9F"/>
    <w:rsid w:val="00050253"/>
    <w:rsid w:val="00052699"/>
    <w:rsid w:val="0005285D"/>
    <w:rsid w:val="000770CB"/>
    <w:rsid w:val="000776E8"/>
    <w:rsid w:val="000800A8"/>
    <w:rsid w:val="00082957"/>
    <w:rsid w:val="00084E44"/>
    <w:rsid w:val="000915E7"/>
    <w:rsid w:val="00092A40"/>
    <w:rsid w:val="000965EB"/>
    <w:rsid w:val="000A0C25"/>
    <w:rsid w:val="000A3935"/>
    <w:rsid w:val="000A47B9"/>
    <w:rsid w:val="000A56B5"/>
    <w:rsid w:val="000B09F5"/>
    <w:rsid w:val="000C058F"/>
    <w:rsid w:val="000C1025"/>
    <w:rsid w:val="000C14E9"/>
    <w:rsid w:val="000C322E"/>
    <w:rsid w:val="000C3360"/>
    <w:rsid w:val="000C38BE"/>
    <w:rsid w:val="000C5F70"/>
    <w:rsid w:val="000C7C5C"/>
    <w:rsid w:val="000E5E39"/>
    <w:rsid w:val="000F428D"/>
    <w:rsid w:val="000F583A"/>
    <w:rsid w:val="0010253D"/>
    <w:rsid w:val="00104D4B"/>
    <w:rsid w:val="00117014"/>
    <w:rsid w:val="001172B6"/>
    <w:rsid w:val="00120798"/>
    <w:rsid w:val="00122D2B"/>
    <w:rsid w:val="001259CE"/>
    <w:rsid w:val="0013595B"/>
    <w:rsid w:val="0014060F"/>
    <w:rsid w:val="001424C2"/>
    <w:rsid w:val="00144911"/>
    <w:rsid w:val="001467A9"/>
    <w:rsid w:val="00150E63"/>
    <w:rsid w:val="001540DF"/>
    <w:rsid w:val="001554A0"/>
    <w:rsid w:val="00171FAD"/>
    <w:rsid w:val="00173D5A"/>
    <w:rsid w:val="001741CE"/>
    <w:rsid w:val="00174493"/>
    <w:rsid w:val="00174659"/>
    <w:rsid w:val="00185210"/>
    <w:rsid w:val="00187313"/>
    <w:rsid w:val="001900F4"/>
    <w:rsid w:val="001930DC"/>
    <w:rsid w:val="00194A4F"/>
    <w:rsid w:val="00195486"/>
    <w:rsid w:val="0019733C"/>
    <w:rsid w:val="00197BC2"/>
    <w:rsid w:val="001A07F1"/>
    <w:rsid w:val="001A7A02"/>
    <w:rsid w:val="001B4038"/>
    <w:rsid w:val="001B551E"/>
    <w:rsid w:val="001B558F"/>
    <w:rsid w:val="001B6AAE"/>
    <w:rsid w:val="001D2C76"/>
    <w:rsid w:val="001E4CE7"/>
    <w:rsid w:val="001E7090"/>
    <w:rsid w:val="001E7AEA"/>
    <w:rsid w:val="001F282D"/>
    <w:rsid w:val="00203971"/>
    <w:rsid w:val="002075E0"/>
    <w:rsid w:val="00212EE0"/>
    <w:rsid w:val="00213858"/>
    <w:rsid w:val="0021442D"/>
    <w:rsid w:val="00215200"/>
    <w:rsid w:val="002216A7"/>
    <w:rsid w:val="0022688F"/>
    <w:rsid w:val="002313C9"/>
    <w:rsid w:val="00241CBC"/>
    <w:rsid w:val="00243A0E"/>
    <w:rsid w:val="00250409"/>
    <w:rsid w:val="00256856"/>
    <w:rsid w:val="00256C02"/>
    <w:rsid w:val="00256F4F"/>
    <w:rsid w:val="002606E7"/>
    <w:rsid w:val="00270911"/>
    <w:rsid w:val="00290688"/>
    <w:rsid w:val="00293180"/>
    <w:rsid w:val="002A3D64"/>
    <w:rsid w:val="002B3F42"/>
    <w:rsid w:val="002B49D8"/>
    <w:rsid w:val="002D0658"/>
    <w:rsid w:val="002D2FE1"/>
    <w:rsid w:val="002D6DE2"/>
    <w:rsid w:val="002E1D06"/>
    <w:rsid w:val="002E5267"/>
    <w:rsid w:val="002E5BFE"/>
    <w:rsid w:val="002F05E0"/>
    <w:rsid w:val="002F15DD"/>
    <w:rsid w:val="002F1965"/>
    <w:rsid w:val="002F1B2F"/>
    <w:rsid w:val="002F2484"/>
    <w:rsid w:val="002F2AA1"/>
    <w:rsid w:val="002F666E"/>
    <w:rsid w:val="002F7B51"/>
    <w:rsid w:val="00304C17"/>
    <w:rsid w:val="0031394A"/>
    <w:rsid w:val="00314473"/>
    <w:rsid w:val="003206F2"/>
    <w:rsid w:val="00324E86"/>
    <w:rsid w:val="00331B72"/>
    <w:rsid w:val="003348FA"/>
    <w:rsid w:val="003412DF"/>
    <w:rsid w:val="00354F2E"/>
    <w:rsid w:val="003552BC"/>
    <w:rsid w:val="00363ED4"/>
    <w:rsid w:val="003645FE"/>
    <w:rsid w:val="00372826"/>
    <w:rsid w:val="00372DE6"/>
    <w:rsid w:val="00373CF8"/>
    <w:rsid w:val="00377B7A"/>
    <w:rsid w:val="00382380"/>
    <w:rsid w:val="00383DA5"/>
    <w:rsid w:val="00397A53"/>
    <w:rsid w:val="003A2AFD"/>
    <w:rsid w:val="003B01AF"/>
    <w:rsid w:val="003B0ECE"/>
    <w:rsid w:val="003B5A40"/>
    <w:rsid w:val="003B7307"/>
    <w:rsid w:val="003B7E86"/>
    <w:rsid w:val="003C0875"/>
    <w:rsid w:val="003C27BF"/>
    <w:rsid w:val="003C6F6B"/>
    <w:rsid w:val="003C77A8"/>
    <w:rsid w:val="003D1374"/>
    <w:rsid w:val="003D50F7"/>
    <w:rsid w:val="003D537C"/>
    <w:rsid w:val="003D71D2"/>
    <w:rsid w:val="003E30D4"/>
    <w:rsid w:val="003E4825"/>
    <w:rsid w:val="003F2776"/>
    <w:rsid w:val="004002F0"/>
    <w:rsid w:val="004009DB"/>
    <w:rsid w:val="00406768"/>
    <w:rsid w:val="00406C2E"/>
    <w:rsid w:val="00407A63"/>
    <w:rsid w:val="0041779E"/>
    <w:rsid w:val="00417808"/>
    <w:rsid w:val="0041798F"/>
    <w:rsid w:val="0042008E"/>
    <w:rsid w:val="0042168F"/>
    <w:rsid w:val="00422AB3"/>
    <w:rsid w:val="004351D5"/>
    <w:rsid w:val="0043544D"/>
    <w:rsid w:val="00437D26"/>
    <w:rsid w:val="004401AF"/>
    <w:rsid w:val="004434C4"/>
    <w:rsid w:val="004447E8"/>
    <w:rsid w:val="00445A40"/>
    <w:rsid w:val="00446AAE"/>
    <w:rsid w:val="004525F0"/>
    <w:rsid w:val="004555D6"/>
    <w:rsid w:val="00461928"/>
    <w:rsid w:val="004630FA"/>
    <w:rsid w:val="004640C2"/>
    <w:rsid w:val="00464745"/>
    <w:rsid w:val="004705E8"/>
    <w:rsid w:val="00471049"/>
    <w:rsid w:val="00475806"/>
    <w:rsid w:val="004773DA"/>
    <w:rsid w:val="00481164"/>
    <w:rsid w:val="004862DF"/>
    <w:rsid w:val="0049478E"/>
    <w:rsid w:val="004950E1"/>
    <w:rsid w:val="004959F2"/>
    <w:rsid w:val="004961BB"/>
    <w:rsid w:val="004A2265"/>
    <w:rsid w:val="004A7315"/>
    <w:rsid w:val="004B6156"/>
    <w:rsid w:val="004C0B28"/>
    <w:rsid w:val="004D2610"/>
    <w:rsid w:val="004D36F3"/>
    <w:rsid w:val="004D5966"/>
    <w:rsid w:val="004F091B"/>
    <w:rsid w:val="004F12FE"/>
    <w:rsid w:val="004F4C10"/>
    <w:rsid w:val="004F679D"/>
    <w:rsid w:val="00503D3D"/>
    <w:rsid w:val="00505739"/>
    <w:rsid w:val="00506E39"/>
    <w:rsid w:val="00514A9F"/>
    <w:rsid w:val="00514E18"/>
    <w:rsid w:val="00520A6B"/>
    <w:rsid w:val="00520DFB"/>
    <w:rsid w:val="00521123"/>
    <w:rsid w:val="00523D71"/>
    <w:rsid w:val="005254D9"/>
    <w:rsid w:val="00530DA6"/>
    <w:rsid w:val="00531F08"/>
    <w:rsid w:val="00546D0D"/>
    <w:rsid w:val="00547E7C"/>
    <w:rsid w:val="00551128"/>
    <w:rsid w:val="00555182"/>
    <w:rsid w:val="00556548"/>
    <w:rsid w:val="00563867"/>
    <w:rsid w:val="0057005C"/>
    <w:rsid w:val="00570599"/>
    <w:rsid w:val="00571A72"/>
    <w:rsid w:val="005735C7"/>
    <w:rsid w:val="00580B98"/>
    <w:rsid w:val="0058127C"/>
    <w:rsid w:val="00581B73"/>
    <w:rsid w:val="00581BA6"/>
    <w:rsid w:val="005835B9"/>
    <w:rsid w:val="005927B0"/>
    <w:rsid w:val="005A2CBA"/>
    <w:rsid w:val="005A2D64"/>
    <w:rsid w:val="005A2F1F"/>
    <w:rsid w:val="005A3C26"/>
    <w:rsid w:val="005A4917"/>
    <w:rsid w:val="005A536B"/>
    <w:rsid w:val="005A5631"/>
    <w:rsid w:val="005B0256"/>
    <w:rsid w:val="005B1D32"/>
    <w:rsid w:val="005B3508"/>
    <w:rsid w:val="005B53E8"/>
    <w:rsid w:val="005B6964"/>
    <w:rsid w:val="005B6B8E"/>
    <w:rsid w:val="005C3582"/>
    <w:rsid w:val="005C483B"/>
    <w:rsid w:val="005C4E02"/>
    <w:rsid w:val="005C76D8"/>
    <w:rsid w:val="005C7C80"/>
    <w:rsid w:val="005D2B23"/>
    <w:rsid w:val="005E0BBD"/>
    <w:rsid w:val="005E1D36"/>
    <w:rsid w:val="005E261E"/>
    <w:rsid w:val="005E30A5"/>
    <w:rsid w:val="005E467F"/>
    <w:rsid w:val="005E493A"/>
    <w:rsid w:val="005E7543"/>
    <w:rsid w:val="005F07F6"/>
    <w:rsid w:val="005F09BA"/>
    <w:rsid w:val="005F117B"/>
    <w:rsid w:val="005F364F"/>
    <w:rsid w:val="005F5A3A"/>
    <w:rsid w:val="00601A2D"/>
    <w:rsid w:val="00603C79"/>
    <w:rsid w:val="006124E3"/>
    <w:rsid w:val="0061303C"/>
    <w:rsid w:val="00615819"/>
    <w:rsid w:val="006158BA"/>
    <w:rsid w:val="00617B72"/>
    <w:rsid w:val="00626B51"/>
    <w:rsid w:val="00630F6D"/>
    <w:rsid w:val="00632BD0"/>
    <w:rsid w:val="00635AFF"/>
    <w:rsid w:val="00640A4C"/>
    <w:rsid w:val="006434CB"/>
    <w:rsid w:val="00643749"/>
    <w:rsid w:val="00645B3F"/>
    <w:rsid w:val="00646E14"/>
    <w:rsid w:val="00647380"/>
    <w:rsid w:val="00647B33"/>
    <w:rsid w:val="00650936"/>
    <w:rsid w:val="00650D1D"/>
    <w:rsid w:val="006545CA"/>
    <w:rsid w:val="00654832"/>
    <w:rsid w:val="00655836"/>
    <w:rsid w:val="0066168E"/>
    <w:rsid w:val="00663C91"/>
    <w:rsid w:val="006659D2"/>
    <w:rsid w:val="00665F90"/>
    <w:rsid w:val="00666772"/>
    <w:rsid w:val="00666838"/>
    <w:rsid w:val="00667EF2"/>
    <w:rsid w:val="00672CA8"/>
    <w:rsid w:val="00674EE5"/>
    <w:rsid w:val="006766A6"/>
    <w:rsid w:val="00676855"/>
    <w:rsid w:val="006927FA"/>
    <w:rsid w:val="006A0E31"/>
    <w:rsid w:val="006A1C67"/>
    <w:rsid w:val="006A5B68"/>
    <w:rsid w:val="006A5FB2"/>
    <w:rsid w:val="006B4718"/>
    <w:rsid w:val="006B63A7"/>
    <w:rsid w:val="006B6B14"/>
    <w:rsid w:val="006B7764"/>
    <w:rsid w:val="006B7DAD"/>
    <w:rsid w:val="006C1300"/>
    <w:rsid w:val="006C2EF4"/>
    <w:rsid w:val="006C33DB"/>
    <w:rsid w:val="006F0CCB"/>
    <w:rsid w:val="006F2D7F"/>
    <w:rsid w:val="006F3779"/>
    <w:rsid w:val="006F3E5B"/>
    <w:rsid w:val="006F4FC3"/>
    <w:rsid w:val="006F58F2"/>
    <w:rsid w:val="006F60F5"/>
    <w:rsid w:val="00702F8E"/>
    <w:rsid w:val="00705355"/>
    <w:rsid w:val="00706D3A"/>
    <w:rsid w:val="00706E96"/>
    <w:rsid w:val="0071029F"/>
    <w:rsid w:val="007130EA"/>
    <w:rsid w:val="00714CF7"/>
    <w:rsid w:val="00715BC6"/>
    <w:rsid w:val="00716682"/>
    <w:rsid w:val="0072483C"/>
    <w:rsid w:val="0073002E"/>
    <w:rsid w:val="00730687"/>
    <w:rsid w:val="00732CBA"/>
    <w:rsid w:val="00733095"/>
    <w:rsid w:val="007435F5"/>
    <w:rsid w:val="00745EE0"/>
    <w:rsid w:val="007467BC"/>
    <w:rsid w:val="00746D9B"/>
    <w:rsid w:val="007513B6"/>
    <w:rsid w:val="00751885"/>
    <w:rsid w:val="007611A6"/>
    <w:rsid w:val="00761A7E"/>
    <w:rsid w:val="0076255A"/>
    <w:rsid w:val="00764601"/>
    <w:rsid w:val="007660B8"/>
    <w:rsid w:val="007670B0"/>
    <w:rsid w:val="00770511"/>
    <w:rsid w:val="007711BA"/>
    <w:rsid w:val="0077334B"/>
    <w:rsid w:val="007737D2"/>
    <w:rsid w:val="00776FFA"/>
    <w:rsid w:val="0077793A"/>
    <w:rsid w:val="00782A15"/>
    <w:rsid w:val="00791022"/>
    <w:rsid w:val="0079133C"/>
    <w:rsid w:val="00796E10"/>
    <w:rsid w:val="007A11EC"/>
    <w:rsid w:val="007A16EB"/>
    <w:rsid w:val="007A25F9"/>
    <w:rsid w:val="007A782F"/>
    <w:rsid w:val="007B053C"/>
    <w:rsid w:val="007B0A1A"/>
    <w:rsid w:val="007B7A0E"/>
    <w:rsid w:val="007C05BB"/>
    <w:rsid w:val="007C1849"/>
    <w:rsid w:val="007C2BC2"/>
    <w:rsid w:val="007C545D"/>
    <w:rsid w:val="007E06C7"/>
    <w:rsid w:val="007E638F"/>
    <w:rsid w:val="007E7463"/>
    <w:rsid w:val="007F24E8"/>
    <w:rsid w:val="007F53E5"/>
    <w:rsid w:val="008023DC"/>
    <w:rsid w:val="008025F6"/>
    <w:rsid w:val="00804D6E"/>
    <w:rsid w:val="008114C1"/>
    <w:rsid w:val="00811617"/>
    <w:rsid w:val="00811ECF"/>
    <w:rsid w:val="00813F73"/>
    <w:rsid w:val="00823042"/>
    <w:rsid w:val="0082389C"/>
    <w:rsid w:val="0082451A"/>
    <w:rsid w:val="00827A4A"/>
    <w:rsid w:val="008313C6"/>
    <w:rsid w:val="00833A62"/>
    <w:rsid w:val="00836E33"/>
    <w:rsid w:val="00841710"/>
    <w:rsid w:val="00843231"/>
    <w:rsid w:val="00844E45"/>
    <w:rsid w:val="008471D1"/>
    <w:rsid w:val="008518C7"/>
    <w:rsid w:val="00851FC6"/>
    <w:rsid w:val="008520B1"/>
    <w:rsid w:val="0085327D"/>
    <w:rsid w:val="00860E35"/>
    <w:rsid w:val="00864C97"/>
    <w:rsid w:val="00867201"/>
    <w:rsid w:val="0087174A"/>
    <w:rsid w:val="00871FC0"/>
    <w:rsid w:val="00872BFA"/>
    <w:rsid w:val="008827A0"/>
    <w:rsid w:val="008848F9"/>
    <w:rsid w:val="00894709"/>
    <w:rsid w:val="008C19DB"/>
    <w:rsid w:val="008C2828"/>
    <w:rsid w:val="008C3AFD"/>
    <w:rsid w:val="008C5B7A"/>
    <w:rsid w:val="008C677A"/>
    <w:rsid w:val="008D1B23"/>
    <w:rsid w:val="008D332D"/>
    <w:rsid w:val="008D3988"/>
    <w:rsid w:val="008D68FD"/>
    <w:rsid w:val="008E0E8F"/>
    <w:rsid w:val="008E5AE8"/>
    <w:rsid w:val="008E60AB"/>
    <w:rsid w:val="008E6E34"/>
    <w:rsid w:val="00901366"/>
    <w:rsid w:val="00905096"/>
    <w:rsid w:val="00907AFE"/>
    <w:rsid w:val="00912AE7"/>
    <w:rsid w:val="00912DEC"/>
    <w:rsid w:val="00914A91"/>
    <w:rsid w:val="00914FAF"/>
    <w:rsid w:val="009168BC"/>
    <w:rsid w:val="00920525"/>
    <w:rsid w:val="00920D40"/>
    <w:rsid w:val="0092710B"/>
    <w:rsid w:val="00931A3E"/>
    <w:rsid w:val="0093272A"/>
    <w:rsid w:val="00940450"/>
    <w:rsid w:val="0094080A"/>
    <w:rsid w:val="00942A4F"/>
    <w:rsid w:val="00944476"/>
    <w:rsid w:val="0094468C"/>
    <w:rsid w:val="00944E61"/>
    <w:rsid w:val="00946E59"/>
    <w:rsid w:val="009577E4"/>
    <w:rsid w:val="009579D3"/>
    <w:rsid w:val="009649C5"/>
    <w:rsid w:val="00972D16"/>
    <w:rsid w:val="009813AF"/>
    <w:rsid w:val="00982B41"/>
    <w:rsid w:val="00983DC2"/>
    <w:rsid w:val="00984E45"/>
    <w:rsid w:val="00991E0B"/>
    <w:rsid w:val="0099222C"/>
    <w:rsid w:val="00992593"/>
    <w:rsid w:val="00994E5E"/>
    <w:rsid w:val="0099746D"/>
    <w:rsid w:val="00997B01"/>
    <w:rsid w:val="009A168B"/>
    <w:rsid w:val="009A1C8F"/>
    <w:rsid w:val="009A6ED4"/>
    <w:rsid w:val="009B0968"/>
    <w:rsid w:val="009C13AF"/>
    <w:rsid w:val="009C44E5"/>
    <w:rsid w:val="009C4A45"/>
    <w:rsid w:val="009C62D6"/>
    <w:rsid w:val="009C64BE"/>
    <w:rsid w:val="009C7622"/>
    <w:rsid w:val="009D0B59"/>
    <w:rsid w:val="009D5D4A"/>
    <w:rsid w:val="009D6157"/>
    <w:rsid w:val="009D715E"/>
    <w:rsid w:val="009E7266"/>
    <w:rsid w:val="00A01FD0"/>
    <w:rsid w:val="00A05DF1"/>
    <w:rsid w:val="00A11676"/>
    <w:rsid w:val="00A15F18"/>
    <w:rsid w:val="00A16C4A"/>
    <w:rsid w:val="00A236D5"/>
    <w:rsid w:val="00A2399A"/>
    <w:rsid w:val="00A40E7B"/>
    <w:rsid w:val="00A413B0"/>
    <w:rsid w:val="00A46089"/>
    <w:rsid w:val="00A46635"/>
    <w:rsid w:val="00A47461"/>
    <w:rsid w:val="00A52970"/>
    <w:rsid w:val="00A55865"/>
    <w:rsid w:val="00A601EC"/>
    <w:rsid w:val="00A6156F"/>
    <w:rsid w:val="00A71CD2"/>
    <w:rsid w:val="00A72E5E"/>
    <w:rsid w:val="00A753EE"/>
    <w:rsid w:val="00A7644D"/>
    <w:rsid w:val="00A775D3"/>
    <w:rsid w:val="00A80853"/>
    <w:rsid w:val="00A81AC8"/>
    <w:rsid w:val="00A82101"/>
    <w:rsid w:val="00A836C0"/>
    <w:rsid w:val="00A85788"/>
    <w:rsid w:val="00A9189F"/>
    <w:rsid w:val="00A91E9C"/>
    <w:rsid w:val="00A9393E"/>
    <w:rsid w:val="00A951A7"/>
    <w:rsid w:val="00A97369"/>
    <w:rsid w:val="00AA5C07"/>
    <w:rsid w:val="00AA6F4D"/>
    <w:rsid w:val="00AB28F6"/>
    <w:rsid w:val="00AB34A4"/>
    <w:rsid w:val="00AB3D3A"/>
    <w:rsid w:val="00AB5801"/>
    <w:rsid w:val="00AB65DB"/>
    <w:rsid w:val="00AB6DEA"/>
    <w:rsid w:val="00AC3C7E"/>
    <w:rsid w:val="00AC7B6E"/>
    <w:rsid w:val="00AD11D8"/>
    <w:rsid w:val="00AD53D6"/>
    <w:rsid w:val="00AF02E1"/>
    <w:rsid w:val="00AF7A5E"/>
    <w:rsid w:val="00B00B89"/>
    <w:rsid w:val="00B01057"/>
    <w:rsid w:val="00B022F3"/>
    <w:rsid w:val="00B07E20"/>
    <w:rsid w:val="00B07F73"/>
    <w:rsid w:val="00B10D23"/>
    <w:rsid w:val="00B1152A"/>
    <w:rsid w:val="00B155FA"/>
    <w:rsid w:val="00B23A19"/>
    <w:rsid w:val="00B24B8B"/>
    <w:rsid w:val="00B318F4"/>
    <w:rsid w:val="00B354EE"/>
    <w:rsid w:val="00B35D4E"/>
    <w:rsid w:val="00B36751"/>
    <w:rsid w:val="00B37919"/>
    <w:rsid w:val="00B416CD"/>
    <w:rsid w:val="00B51559"/>
    <w:rsid w:val="00B51B1C"/>
    <w:rsid w:val="00B527F5"/>
    <w:rsid w:val="00B62FAB"/>
    <w:rsid w:val="00B63F0D"/>
    <w:rsid w:val="00B653A3"/>
    <w:rsid w:val="00B668B0"/>
    <w:rsid w:val="00B70F40"/>
    <w:rsid w:val="00B72FA3"/>
    <w:rsid w:val="00B7526B"/>
    <w:rsid w:val="00B7585E"/>
    <w:rsid w:val="00B7679A"/>
    <w:rsid w:val="00B77C34"/>
    <w:rsid w:val="00B800CB"/>
    <w:rsid w:val="00B80911"/>
    <w:rsid w:val="00B81558"/>
    <w:rsid w:val="00B84DCA"/>
    <w:rsid w:val="00B862AC"/>
    <w:rsid w:val="00B86AFA"/>
    <w:rsid w:val="00B9439C"/>
    <w:rsid w:val="00B96EC4"/>
    <w:rsid w:val="00BA3AEB"/>
    <w:rsid w:val="00BB212B"/>
    <w:rsid w:val="00BB2929"/>
    <w:rsid w:val="00BB3718"/>
    <w:rsid w:val="00BB7716"/>
    <w:rsid w:val="00BC642F"/>
    <w:rsid w:val="00BC7545"/>
    <w:rsid w:val="00BD0B88"/>
    <w:rsid w:val="00BD3408"/>
    <w:rsid w:val="00BD3947"/>
    <w:rsid w:val="00BD3CB6"/>
    <w:rsid w:val="00BF1CF7"/>
    <w:rsid w:val="00BF68FA"/>
    <w:rsid w:val="00BF78CB"/>
    <w:rsid w:val="00C04C37"/>
    <w:rsid w:val="00C06FB2"/>
    <w:rsid w:val="00C07415"/>
    <w:rsid w:val="00C11C49"/>
    <w:rsid w:val="00C24995"/>
    <w:rsid w:val="00C301CA"/>
    <w:rsid w:val="00C33A38"/>
    <w:rsid w:val="00C342FB"/>
    <w:rsid w:val="00C36EBD"/>
    <w:rsid w:val="00C3751E"/>
    <w:rsid w:val="00C4089B"/>
    <w:rsid w:val="00C40E19"/>
    <w:rsid w:val="00C50405"/>
    <w:rsid w:val="00C568F9"/>
    <w:rsid w:val="00C57AAA"/>
    <w:rsid w:val="00C64A00"/>
    <w:rsid w:val="00C66954"/>
    <w:rsid w:val="00C726B0"/>
    <w:rsid w:val="00C75C80"/>
    <w:rsid w:val="00C91EA6"/>
    <w:rsid w:val="00C9258A"/>
    <w:rsid w:val="00C92FE3"/>
    <w:rsid w:val="00C97789"/>
    <w:rsid w:val="00CA3FD1"/>
    <w:rsid w:val="00CA5CC5"/>
    <w:rsid w:val="00CA610B"/>
    <w:rsid w:val="00CB082E"/>
    <w:rsid w:val="00CB4537"/>
    <w:rsid w:val="00CC0245"/>
    <w:rsid w:val="00CC6CCB"/>
    <w:rsid w:val="00CC7ACC"/>
    <w:rsid w:val="00CE189D"/>
    <w:rsid w:val="00CE2310"/>
    <w:rsid w:val="00CE30C0"/>
    <w:rsid w:val="00CE32BA"/>
    <w:rsid w:val="00CE48E8"/>
    <w:rsid w:val="00CF02E9"/>
    <w:rsid w:val="00D03CDC"/>
    <w:rsid w:val="00D06E86"/>
    <w:rsid w:val="00D1433A"/>
    <w:rsid w:val="00D1779A"/>
    <w:rsid w:val="00D22AA2"/>
    <w:rsid w:val="00D23067"/>
    <w:rsid w:val="00D242BE"/>
    <w:rsid w:val="00D27CFA"/>
    <w:rsid w:val="00D27F75"/>
    <w:rsid w:val="00D34812"/>
    <w:rsid w:val="00D40A0E"/>
    <w:rsid w:val="00D422CD"/>
    <w:rsid w:val="00D43291"/>
    <w:rsid w:val="00D4664C"/>
    <w:rsid w:val="00D537AC"/>
    <w:rsid w:val="00D53FB2"/>
    <w:rsid w:val="00D54A8F"/>
    <w:rsid w:val="00D620BE"/>
    <w:rsid w:val="00D70565"/>
    <w:rsid w:val="00D72B07"/>
    <w:rsid w:val="00D73203"/>
    <w:rsid w:val="00D73F66"/>
    <w:rsid w:val="00D744EB"/>
    <w:rsid w:val="00D752BF"/>
    <w:rsid w:val="00D76CAB"/>
    <w:rsid w:val="00D77253"/>
    <w:rsid w:val="00D84788"/>
    <w:rsid w:val="00D903DC"/>
    <w:rsid w:val="00D93374"/>
    <w:rsid w:val="00DA0183"/>
    <w:rsid w:val="00DA1FDB"/>
    <w:rsid w:val="00DA56A7"/>
    <w:rsid w:val="00DB63BC"/>
    <w:rsid w:val="00DC298A"/>
    <w:rsid w:val="00DC34CA"/>
    <w:rsid w:val="00DC420F"/>
    <w:rsid w:val="00DC541D"/>
    <w:rsid w:val="00DC6C7B"/>
    <w:rsid w:val="00DE1A9C"/>
    <w:rsid w:val="00DF0441"/>
    <w:rsid w:val="00DF11AC"/>
    <w:rsid w:val="00DF3484"/>
    <w:rsid w:val="00DF4407"/>
    <w:rsid w:val="00DF58FF"/>
    <w:rsid w:val="00E067F9"/>
    <w:rsid w:val="00E0794A"/>
    <w:rsid w:val="00E1606B"/>
    <w:rsid w:val="00E209CF"/>
    <w:rsid w:val="00E22AE6"/>
    <w:rsid w:val="00E25F95"/>
    <w:rsid w:val="00E270E0"/>
    <w:rsid w:val="00E2724F"/>
    <w:rsid w:val="00E33E25"/>
    <w:rsid w:val="00E3762E"/>
    <w:rsid w:val="00E4011A"/>
    <w:rsid w:val="00E5041B"/>
    <w:rsid w:val="00E52612"/>
    <w:rsid w:val="00E52894"/>
    <w:rsid w:val="00E558F8"/>
    <w:rsid w:val="00E64FBC"/>
    <w:rsid w:val="00E65EA5"/>
    <w:rsid w:val="00E67C4F"/>
    <w:rsid w:val="00E740F2"/>
    <w:rsid w:val="00E7710E"/>
    <w:rsid w:val="00E821DD"/>
    <w:rsid w:val="00E847A0"/>
    <w:rsid w:val="00EA3F8A"/>
    <w:rsid w:val="00EA56A5"/>
    <w:rsid w:val="00EA5B6C"/>
    <w:rsid w:val="00EB1237"/>
    <w:rsid w:val="00EB3E36"/>
    <w:rsid w:val="00EB3EE2"/>
    <w:rsid w:val="00EB7B9F"/>
    <w:rsid w:val="00EC0EE1"/>
    <w:rsid w:val="00EC25CC"/>
    <w:rsid w:val="00EC5473"/>
    <w:rsid w:val="00ED3514"/>
    <w:rsid w:val="00ED394A"/>
    <w:rsid w:val="00ED629C"/>
    <w:rsid w:val="00ED7EEF"/>
    <w:rsid w:val="00EE161E"/>
    <w:rsid w:val="00EE26F5"/>
    <w:rsid w:val="00EF14AE"/>
    <w:rsid w:val="00EF447E"/>
    <w:rsid w:val="00EF6DC2"/>
    <w:rsid w:val="00EF7E72"/>
    <w:rsid w:val="00F03560"/>
    <w:rsid w:val="00F06011"/>
    <w:rsid w:val="00F12660"/>
    <w:rsid w:val="00F17CF2"/>
    <w:rsid w:val="00F200F5"/>
    <w:rsid w:val="00F22D1D"/>
    <w:rsid w:val="00F26674"/>
    <w:rsid w:val="00F27093"/>
    <w:rsid w:val="00F3140C"/>
    <w:rsid w:val="00F347E9"/>
    <w:rsid w:val="00F36D65"/>
    <w:rsid w:val="00F374CD"/>
    <w:rsid w:val="00F45FD6"/>
    <w:rsid w:val="00F469A0"/>
    <w:rsid w:val="00F4703B"/>
    <w:rsid w:val="00F471F6"/>
    <w:rsid w:val="00F51F09"/>
    <w:rsid w:val="00F52FD5"/>
    <w:rsid w:val="00F60A2F"/>
    <w:rsid w:val="00F6671D"/>
    <w:rsid w:val="00F66928"/>
    <w:rsid w:val="00F72574"/>
    <w:rsid w:val="00F7259F"/>
    <w:rsid w:val="00F74663"/>
    <w:rsid w:val="00F74F32"/>
    <w:rsid w:val="00F866E4"/>
    <w:rsid w:val="00F912A5"/>
    <w:rsid w:val="00F91A20"/>
    <w:rsid w:val="00F924F1"/>
    <w:rsid w:val="00FA2967"/>
    <w:rsid w:val="00FA44D0"/>
    <w:rsid w:val="00FB709C"/>
    <w:rsid w:val="00FC7FAC"/>
    <w:rsid w:val="00FD060E"/>
    <w:rsid w:val="00FD2D84"/>
    <w:rsid w:val="00FD2FF4"/>
    <w:rsid w:val="00FD56E0"/>
    <w:rsid w:val="00FE0511"/>
    <w:rsid w:val="00FF1951"/>
    <w:rsid w:val="00FF4367"/>
    <w:rsid w:val="00FF58FB"/>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350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paragraph" w:styleId="Heading1">
    <w:name w:val="heading 1"/>
    <w:basedOn w:val="Normal"/>
    <w:next w:val="Normal"/>
    <w:qFormat/>
    <w:rsid w:val="009577E4"/>
    <w:pPr>
      <w:keepNext/>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C37"/>
    <w:pPr>
      <w:ind w:left="720"/>
    </w:pPr>
  </w:style>
  <w:style w:type="paragraph" w:styleId="BalloonText">
    <w:name w:val="Balloon Text"/>
    <w:basedOn w:val="Normal"/>
    <w:link w:val="BalloonTextChar"/>
    <w:rsid w:val="00475806"/>
    <w:rPr>
      <w:rFonts w:ascii="Tahoma" w:hAnsi="Tahoma"/>
      <w:sz w:val="16"/>
      <w:szCs w:val="16"/>
      <w:lang w:val="x-none" w:eastAsia="x-none"/>
    </w:rPr>
  </w:style>
  <w:style w:type="character" w:customStyle="1" w:styleId="BalloonTextChar">
    <w:name w:val="Balloon Text Char"/>
    <w:link w:val="BalloonText"/>
    <w:rsid w:val="00475806"/>
    <w:rPr>
      <w:rFonts w:ascii="Tahoma" w:hAnsi="Tahoma" w:cs="Tahoma"/>
      <w:sz w:val="16"/>
      <w:szCs w:val="16"/>
    </w:rPr>
  </w:style>
  <w:style w:type="character" w:styleId="CommentReference">
    <w:name w:val="annotation reference"/>
    <w:rsid w:val="004555D6"/>
    <w:rPr>
      <w:sz w:val="16"/>
      <w:szCs w:val="16"/>
    </w:rPr>
  </w:style>
  <w:style w:type="paragraph" w:styleId="CommentText">
    <w:name w:val="annotation text"/>
    <w:basedOn w:val="Normal"/>
    <w:link w:val="CommentTextChar"/>
    <w:rsid w:val="004555D6"/>
    <w:rPr>
      <w:sz w:val="20"/>
    </w:rPr>
  </w:style>
  <w:style w:type="character" w:customStyle="1" w:styleId="CommentTextChar">
    <w:name w:val="Comment Text Char"/>
    <w:link w:val="CommentText"/>
    <w:rsid w:val="004555D6"/>
    <w:rPr>
      <w:rFonts w:ascii="Frutiger 45 Light" w:hAnsi="Frutiger 45 Light"/>
    </w:rPr>
  </w:style>
  <w:style w:type="paragraph" w:styleId="CommentSubject">
    <w:name w:val="annotation subject"/>
    <w:basedOn w:val="CommentText"/>
    <w:next w:val="CommentText"/>
    <w:link w:val="CommentSubjectChar"/>
    <w:rsid w:val="004555D6"/>
    <w:rPr>
      <w:b/>
      <w:bCs/>
    </w:rPr>
  </w:style>
  <w:style w:type="character" w:customStyle="1" w:styleId="CommentSubjectChar">
    <w:name w:val="Comment Subject Char"/>
    <w:link w:val="CommentSubject"/>
    <w:rsid w:val="004555D6"/>
    <w:rPr>
      <w:rFonts w:ascii="Frutiger 45 Light" w:hAnsi="Frutiger 45 Light"/>
      <w:b/>
      <w:bCs/>
    </w:rPr>
  </w:style>
  <w:style w:type="character" w:customStyle="1" w:styleId="s15">
    <w:name w:val="s15"/>
    <w:basedOn w:val="DefaultParagraphFont"/>
    <w:rsid w:val="003206F2"/>
  </w:style>
  <w:style w:type="character" w:customStyle="1" w:styleId="s6">
    <w:name w:val="s6"/>
    <w:basedOn w:val="DefaultParagraphFont"/>
    <w:rsid w:val="0032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939">
      <w:bodyDiv w:val="1"/>
      <w:marLeft w:val="0"/>
      <w:marRight w:val="0"/>
      <w:marTop w:val="0"/>
      <w:marBottom w:val="0"/>
      <w:divBdr>
        <w:top w:val="none" w:sz="0" w:space="0" w:color="auto"/>
        <w:left w:val="none" w:sz="0" w:space="0" w:color="auto"/>
        <w:bottom w:val="none" w:sz="0" w:space="0" w:color="auto"/>
        <w:right w:val="none" w:sz="0" w:space="0" w:color="auto"/>
      </w:divBdr>
      <w:divsChild>
        <w:div w:id="2116434835">
          <w:marLeft w:val="0"/>
          <w:marRight w:val="0"/>
          <w:marTop w:val="0"/>
          <w:marBottom w:val="0"/>
          <w:divBdr>
            <w:top w:val="none" w:sz="0" w:space="0" w:color="auto"/>
            <w:left w:val="none" w:sz="0" w:space="0" w:color="auto"/>
            <w:bottom w:val="none" w:sz="0" w:space="0" w:color="auto"/>
            <w:right w:val="none" w:sz="0" w:space="0" w:color="auto"/>
          </w:divBdr>
          <w:divsChild>
            <w:div w:id="1450316778">
              <w:marLeft w:val="0"/>
              <w:marRight w:val="0"/>
              <w:marTop w:val="0"/>
              <w:marBottom w:val="0"/>
              <w:divBdr>
                <w:top w:val="none" w:sz="0" w:space="0" w:color="auto"/>
                <w:left w:val="none" w:sz="0" w:space="0" w:color="auto"/>
                <w:bottom w:val="none" w:sz="0" w:space="0" w:color="auto"/>
                <w:right w:val="none" w:sz="0" w:space="0" w:color="auto"/>
              </w:divBdr>
              <w:divsChild>
                <w:div w:id="1894081378">
                  <w:marLeft w:val="0"/>
                  <w:marRight w:val="0"/>
                  <w:marTop w:val="0"/>
                  <w:marBottom w:val="0"/>
                  <w:divBdr>
                    <w:top w:val="none" w:sz="0" w:space="0" w:color="auto"/>
                    <w:left w:val="none" w:sz="0" w:space="0" w:color="auto"/>
                    <w:bottom w:val="none" w:sz="0" w:space="0" w:color="auto"/>
                    <w:right w:val="none" w:sz="0" w:space="0" w:color="auto"/>
                  </w:divBdr>
                  <w:divsChild>
                    <w:div w:id="1895391038">
                      <w:marLeft w:val="2325"/>
                      <w:marRight w:val="0"/>
                      <w:marTop w:val="0"/>
                      <w:marBottom w:val="0"/>
                      <w:divBdr>
                        <w:top w:val="none" w:sz="0" w:space="0" w:color="auto"/>
                        <w:left w:val="none" w:sz="0" w:space="0" w:color="auto"/>
                        <w:bottom w:val="none" w:sz="0" w:space="0" w:color="auto"/>
                        <w:right w:val="none" w:sz="0" w:space="0" w:color="auto"/>
                      </w:divBdr>
                      <w:divsChild>
                        <w:div w:id="1577202684">
                          <w:marLeft w:val="0"/>
                          <w:marRight w:val="0"/>
                          <w:marTop w:val="0"/>
                          <w:marBottom w:val="0"/>
                          <w:divBdr>
                            <w:top w:val="none" w:sz="0" w:space="0" w:color="auto"/>
                            <w:left w:val="none" w:sz="0" w:space="0" w:color="auto"/>
                            <w:bottom w:val="none" w:sz="0" w:space="0" w:color="auto"/>
                            <w:right w:val="none" w:sz="0" w:space="0" w:color="auto"/>
                          </w:divBdr>
                          <w:divsChild>
                            <w:div w:id="1146623720">
                              <w:marLeft w:val="0"/>
                              <w:marRight w:val="0"/>
                              <w:marTop w:val="0"/>
                              <w:marBottom w:val="0"/>
                              <w:divBdr>
                                <w:top w:val="none" w:sz="0" w:space="0" w:color="auto"/>
                                <w:left w:val="none" w:sz="0" w:space="0" w:color="auto"/>
                                <w:bottom w:val="none" w:sz="0" w:space="0" w:color="auto"/>
                                <w:right w:val="none" w:sz="0" w:space="0" w:color="auto"/>
                              </w:divBdr>
                              <w:divsChild>
                                <w:div w:id="1148130717">
                                  <w:marLeft w:val="0"/>
                                  <w:marRight w:val="0"/>
                                  <w:marTop w:val="0"/>
                                  <w:marBottom w:val="0"/>
                                  <w:divBdr>
                                    <w:top w:val="none" w:sz="0" w:space="0" w:color="auto"/>
                                    <w:left w:val="none" w:sz="0" w:space="0" w:color="auto"/>
                                    <w:bottom w:val="none" w:sz="0" w:space="0" w:color="auto"/>
                                    <w:right w:val="none" w:sz="0" w:space="0" w:color="auto"/>
                                  </w:divBdr>
                                  <w:divsChild>
                                    <w:div w:id="698434630">
                                      <w:marLeft w:val="0"/>
                                      <w:marRight w:val="0"/>
                                      <w:marTop w:val="0"/>
                                      <w:marBottom w:val="0"/>
                                      <w:divBdr>
                                        <w:top w:val="none" w:sz="0" w:space="0" w:color="auto"/>
                                        <w:left w:val="none" w:sz="0" w:space="0" w:color="auto"/>
                                        <w:bottom w:val="none" w:sz="0" w:space="0" w:color="auto"/>
                                        <w:right w:val="none" w:sz="0" w:space="0" w:color="auto"/>
                                      </w:divBdr>
                                      <w:divsChild>
                                        <w:div w:id="565725584">
                                          <w:marLeft w:val="0"/>
                                          <w:marRight w:val="0"/>
                                          <w:marTop w:val="0"/>
                                          <w:marBottom w:val="0"/>
                                          <w:divBdr>
                                            <w:top w:val="none" w:sz="0" w:space="0" w:color="auto"/>
                                            <w:left w:val="none" w:sz="0" w:space="0" w:color="auto"/>
                                            <w:bottom w:val="none" w:sz="0" w:space="0" w:color="auto"/>
                                            <w:right w:val="none" w:sz="0" w:space="0" w:color="auto"/>
                                          </w:divBdr>
                                          <w:divsChild>
                                            <w:div w:id="2088913132">
                                              <w:marLeft w:val="0"/>
                                              <w:marRight w:val="0"/>
                                              <w:marTop w:val="0"/>
                                              <w:marBottom w:val="0"/>
                                              <w:divBdr>
                                                <w:top w:val="none" w:sz="0" w:space="0" w:color="auto"/>
                                                <w:left w:val="none" w:sz="0" w:space="0" w:color="auto"/>
                                                <w:bottom w:val="none" w:sz="0" w:space="0" w:color="auto"/>
                                                <w:right w:val="none" w:sz="0" w:space="0" w:color="auto"/>
                                              </w:divBdr>
                                              <w:divsChild>
                                                <w:div w:id="613750288">
                                                  <w:marLeft w:val="0"/>
                                                  <w:marRight w:val="0"/>
                                                  <w:marTop w:val="0"/>
                                                  <w:marBottom w:val="0"/>
                                                  <w:divBdr>
                                                    <w:top w:val="none" w:sz="0" w:space="0" w:color="auto"/>
                                                    <w:left w:val="none" w:sz="0" w:space="0" w:color="auto"/>
                                                    <w:bottom w:val="none" w:sz="0" w:space="0" w:color="auto"/>
                                                    <w:right w:val="none" w:sz="0" w:space="0" w:color="auto"/>
                                                  </w:divBdr>
                                                  <w:divsChild>
                                                    <w:div w:id="1813908138">
                                                      <w:marLeft w:val="0"/>
                                                      <w:marRight w:val="0"/>
                                                      <w:marTop w:val="0"/>
                                                      <w:marBottom w:val="0"/>
                                                      <w:divBdr>
                                                        <w:top w:val="none" w:sz="0" w:space="0" w:color="auto"/>
                                                        <w:left w:val="none" w:sz="0" w:space="0" w:color="auto"/>
                                                        <w:bottom w:val="none" w:sz="0" w:space="0" w:color="auto"/>
                                                        <w:right w:val="none" w:sz="0" w:space="0" w:color="auto"/>
                                                      </w:divBdr>
                                                      <w:divsChild>
                                                        <w:div w:id="26931387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35903">
      <w:bodyDiv w:val="1"/>
      <w:marLeft w:val="0"/>
      <w:marRight w:val="0"/>
      <w:marTop w:val="0"/>
      <w:marBottom w:val="0"/>
      <w:divBdr>
        <w:top w:val="none" w:sz="0" w:space="0" w:color="auto"/>
        <w:left w:val="none" w:sz="0" w:space="0" w:color="auto"/>
        <w:bottom w:val="none" w:sz="0" w:space="0" w:color="auto"/>
        <w:right w:val="none" w:sz="0" w:space="0" w:color="auto"/>
      </w:divBdr>
      <w:divsChild>
        <w:div w:id="1728609702">
          <w:marLeft w:val="0"/>
          <w:marRight w:val="0"/>
          <w:marTop w:val="0"/>
          <w:marBottom w:val="0"/>
          <w:divBdr>
            <w:top w:val="none" w:sz="0" w:space="0" w:color="auto"/>
            <w:left w:val="none" w:sz="0" w:space="0" w:color="auto"/>
            <w:bottom w:val="none" w:sz="0" w:space="0" w:color="auto"/>
            <w:right w:val="none" w:sz="0" w:space="0" w:color="auto"/>
          </w:divBdr>
          <w:divsChild>
            <w:div w:id="1174802906">
              <w:marLeft w:val="0"/>
              <w:marRight w:val="0"/>
              <w:marTop w:val="0"/>
              <w:marBottom w:val="0"/>
              <w:divBdr>
                <w:top w:val="none" w:sz="0" w:space="0" w:color="auto"/>
                <w:left w:val="none" w:sz="0" w:space="0" w:color="auto"/>
                <w:bottom w:val="none" w:sz="0" w:space="0" w:color="auto"/>
                <w:right w:val="none" w:sz="0" w:space="0" w:color="auto"/>
              </w:divBdr>
              <w:divsChild>
                <w:div w:id="1666203534">
                  <w:marLeft w:val="0"/>
                  <w:marRight w:val="0"/>
                  <w:marTop w:val="0"/>
                  <w:marBottom w:val="0"/>
                  <w:divBdr>
                    <w:top w:val="none" w:sz="0" w:space="0" w:color="auto"/>
                    <w:left w:val="none" w:sz="0" w:space="0" w:color="auto"/>
                    <w:bottom w:val="none" w:sz="0" w:space="0" w:color="auto"/>
                    <w:right w:val="none" w:sz="0" w:space="0" w:color="auto"/>
                  </w:divBdr>
                  <w:divsChild>
                    <w:div w:id="701442193">
                      <w:marLeft w:val="2325"/>
                      <w:marRight w:val="0"/>
                      <w:marTop w:val="0"/>
                      <w:marBottom w:val="0"/>
                      <w:divBdr>
                        <w:top w:val="none" w:sz="0" w:space="0" w:color="auto"/>
                        <w:left w:val="none" w:sz="0" w:space="0" w:color="auto"/>
                        <w:bottom w:val="none" w:sz="0" w:space="0" w:color="auto"/>
                        <w:right w:val="none" w:sz="0" w:space="0" w:color="auto"/>
                      </w:divBdr>
                      <w:divsChild>
                        <w:div w:id="861626165">
                          <w:marLeft w:val="0"/>
                          <w:marRight w:val="0"/>
                          <w:marTop w:val="0"/>
                          <w:marBottom w:val="0"/>
                          <w:divBdr>
                            <w:top w:val="none" w:sz="0" w:space="0" w:color="auto"/>
                            <w:left w:val="none" w:sz="0" w:space="0" w:color="auto"/>
                            <w:bottom w:val="none" w:sz="0" w:space="0" w:color="auto"/>
                            <w:right w:val="none" w:sz="0" w:space="0" w:color="auto"/>
                          </w:divBdr>
                          <w:divsChild>
                            <w:div w:id="144512546">
                              <w:marLeft w:val="0"/>
                              <w:marRight w:val="0"/>
                              <w:marTop w:val="0"/>
                              <w:marBottom w:val="0"/>
                              <w:divBdr>
                                <w:top w:val="none" w:sz="0" w:space="0" w:color="auto"/>
                                <w:left w:val="none" w:sz="0" w:space="0" w:color="auto"/>
                                <w:bottom w:val="none" w:sz="0" w:space="0" w:color="auto"/>
                                <w:right w:val="none" w:sz="0" w:space="0" w:color="auto"/>
                              </w:divBdr>
                              <w:divsChild>
                                <w:div w:id="54596126">
                                  <w:marLeft w:val="0"/>
                                  <w:marRight w:val="0"/>
                                  <w:marTop w:val="0"/>
                                  <w:marBottom w:val="0"/>
                                  <w:divBdr>
                                    <w:top w:val="none" w:sz="0" w:space="0" w:color="auto"/>
                                    <w:left w:val="none" w:sz="0" w:space="0" w:color="auto"/>
                                    <w:bottom w:val="none" w:sz="0" w:space="0" w:color="auto"/>
                                    <w:right w:val="none" w:sz="0" w:space="0" w:color="auto"/>
                                  </w:divBdr>
                                  <w:divsChild>
                                    <w:div w:id="148789001">
                                      <w:marLeft w:val="0"/>
                                      <w:marRight w:val="0"/>
                                      <w:marTop w:val="0"/>
                                      <w:marBottom w:val="0"/>
                                      <w:divBdr>
                                        <w:top w:val="none" w:sz="0" w:space="0" w:color="auto"/>
                                        <w:left w:val="none" w:sz="0" w:space="0" w:color="auto"/>
                                        <w:bottom w:val="none" w:sz="0" w:space="0" w:color="auto"/>
                                        <w:right w:val="none" w:sz="0" w:space="0" w:color="auto"/>
                                      </w:divBdr>
                                      <w:divsChild>
                                        <w:div w:id="551842267">
                                          <w:marLeft w:val="0"/>
                                          <w:marRight w:val="0"/>
                                          <w:marTop w:val="0"/>
                                          <w:marBottom w:val="0"/>
                                          <w:divBdr>
                                            <w:top w:val="none" w:sz="0" w:space="0" w:color="auto"/>
                                            <w:left w:val="none" w:sz="0" w:space="0" w:color="auto"/>
                                            <w:bottom w:val="none" w:sz="0" w:space="0" w:color="auto"/>
                                            <w:right w:val="none" w:sz="0" w:space="0" w:color="auto"/>
                                          </w:divBdr>
                                          <w:divsChild>
                                            <w:div w:id="561257718">
                                              <w:marLeft w:val="0"/>
                                              <w:marRight w:val="0"/>
                                              <w:marTop w:val="0"/>
                                              <w:marBottom w:val="0"/>
                                              <w:divBdr>
                                                <w:top w:val="none" w:sz="0" w:space="0" w:color="auto"/>
                                                <w:left w:val="none" w:sz="0" w:space="0" w:color="auto"/>
                                                <w:bottom w:val="none" w:sz="0" w:space="0" w:color="auto"/>
                                                <w:right w:val="none" w:sz="0" w:space="0" w:color="auto"/>
                                              </w:divBdr>
                                              <w:divsChild>
                                                <w:div w:id="121458437">
                                                  <w:marLeft w:val="0"/>
                                                  <w:marRight w:val="0"/>
                                                  <w:marTop w:val="0"/>
                                                  <w:marBottom w:val="0"/>
                                                  <w:divBdr>
                                                    <w:top w:val="none" w:sz="0" w:space="0" w:color="auto"/>
                                                    <w:left w:val="none" w:sz="0" w:space="0" w:color="auto"/>
                                                    <w:bottom w:val="none" w:sz="0" w:space="0" w:color="auto"/>
                                                    <w:right w:val="none" w:sz="0" w:space="0" w:color="auto"/>
                                                  </w:divBdr>
                                                  <w:divsChild>
                                                    <w:div w:id="554049602">
                                                      <w:marLeft w:val="0"/>
                                                      <w:marRight w:val="0"/>
                                                      <w:marTop w:val="0"/>
                                                      <w:marBottom w:val="0"/>
                                                      <w:divBdr>
                                                        <w:top w:val="none" w:sz="0" w:space="0" w:color="auto"/>
                                                        <w:left w:val="none" w:sz="0" w:space="0" w:color="auto"/>
                                                        <w:bottom w:val="none" w:sz="0" w:space="0" w:color="auto"/>
                                                        <w:right w:val="none" w:sz="0" w:space="0" w:color="auto"/>
                                                      </w:divBdr>
                                                      <w:divsChild>
                                                        <w:div w:id="23940974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56093">
      <w:bodyDiv w:val="1"/>
      <w:marLeft w:val="0"/>
      <w:marRight w:val="0"/>
      <w:marTop w:val="0"/>
      <w:marBottom w:val="0"/>
      <w:divBdr>
        <w:top w:val="none" w:sz="0" w:space="0" w:color="auto"/>
        <w:left w:val="none" w:sz="0" w:space="0" w:color="auto"/>
        <w:bottom w:val="none" w:sz="0" w:space="0" w:color="auto"/>
        <w:right w:val="none" w:sz="0" w:space="0" w:color="auto"/>
      </w:divBdr>
      <w:divsChild>
        <w:div w:id="749305655">
          <w:marLeft w:val="0"/>
          <w:marRight w:val="0"/>
          <w:marTop w:val="0"/>
          <w:marBottom w:val="0"/>
          <w:divBdr>
            <w:top w:val="none" w:sz="0" w:space="0" w:color="auto"/>
            <w:left w:val="none" w:sz="0" w:space="0" w:color="auto"/>
            <w:bottom w:val="none" w:sz="0" w:space="0" w:color="auto"/>
            <w:right w:val="none" w:sz="0" w:space="0" w:color="auto"/>
          </w:divBdr>
          <w:divsChild>
            <w:div w:id="405538607">
              <w:marLeft w:val="0"/>
              <w:marRight w:val="0"/>
              <w:marTop w:val="0"/>
              <w:marBottom w:val="0"/>
              <w:divBdr>
                <w:top w:val="none" w:sz="0" w:space="0" w:color="auto"/>
                <w:left w:val="none" w:sz="0" w:space="0" w:color="auto"/>
                <w:bottom w:val="none" w:sz="0" w:space="0" w:color="auto"/>
                <w:right w:val="none" w:sz="0" w:space="0" w:color="auto"/>
              </w:divBdr>
              <w:divsChild>
                <w:div w:id="568659789">
                  <w:marLeft w:val="0"/>
                  <w:marRight w:val="0"/>
                  <w:marTop w:val="0"/>
                  <w:marBottom w:val="0"/>
                  <w:divBdr>
                    <w:top w:val="none" w:sz="0" w:space="0" w:color="auto"/>
                    <w:left w:val="none" w:sz="0" w:space="0" w:color="auto"/>
                    <w:bottom w:val="none" w:sz="0" w:space="0" w:color="auto"/>
                    <w:right w:val="none" w:sz="0" w:space="0" w:color="auto"/>
                  </w:divBdr>
                  <w:divsChild>
                    <w:div w:id="1218934897">
                      <w:marLeft w:val="2325"/>
                      <w:marRight w:val="0"/>
                      <w:marTop w:val="0"/>
                      <w:marBottom w:val="0"/>
                      <w:divBdr>
                        <w:top w:val="none" w:sz="0" w:space="0" w:color="auto"/>
                        <w:left w:val="none" w:sz="0" w:space="0" w:color="auto"/>
                        <w:bottom w:val="none" w:sz="0" w:space="0" w:color="auto"/>
                        <w:right w:val="none" w:sz="0" w:space="0" w:color="auto"/>
                      </w:divBdr>
                      <w:divsChild>
                        <w:div w:id="2144496326">
                          <w:marLeft w:val="0"/>
                          <w:marRight w:val="0"/>
                          <w:marTop w:val="0"/>
                          <w:marBottom w:val="0"/>
                          <w:divBdr>
                            <w:top w:val="none" w:sz="0" w:space="0" w:color="auto"/>
                            <w:left w:val="none" w:sz="0" w:space="0" w:color="auto"/>
                            <w:bottom w:val="none" w:sz="0" w:space="0" w:color="auto"/>
                            <w:right w:val="none" w:sz="0" w:space="0" w:color="auto"/>
                          </w:divBdr>
                          <w:divsChild>
                            <w:div w:id="2075157404">
                              <w:marLeft w:val="0"/>
                              <w:marRight w:val="0"/>
                              <w:marTop w:val="0"/>
                              <w:marBottom w:val="0"/>
                              <w:divBdr>
                                <w:top w:val="none" w:sz="0" w:space="0" w:color="auto"/>
                                <w:left w:val="none" w:sz="0" w:space="0" w:color="auto"/>
                                <w:bottom w:val="none" w:sz="0" w:space="0" w:color="auto"/>
                                <w:right w:val="none" w:sz="0" w:space="0" w:color="auto"/>
                              </w:divBdr>
                              <w:divsChild>
                                <w:div w:id="1265109166">
                                  <w:marLeft w:val="0"/>
                                  <w:marRight w:val="0"/>
                                  <w:marTop w:val="0"/>
                                  <w:marBottom w:val="0"/>
                                  <w:divBdr>
                                    <w:top w:val="none" w:sz="0" w:space="0" w:color="auto"/>
                                    <w:left w:val="none" w:sz="0" w:space="0" w:color="auto"/>
                                    <w:bottom w:val="none" w:sz="0" w:space="0" w:color="auto"/>
                                    <w:right w:val="none" w:sz="0" w:space="0" w:color="auto"/>
                                  </w:divBdr>
                                  <w:divsChild>
                                    <w:div w:id="1079252989">
                                      <w:marLeft w:val="0"/>
                                      <w:marRight w:val="0"/>
                                      <w:marTop w:val="0"/>
                                      <w:marBottom w:val="0"/>
                                      <w:divBdr>
                                        <w:top w:val="none" w:sz="0" w:space="0" w:color="auto"/>
                                        <w:left w:val="none" w:sz="0" w:space="0" w:color="auto"/>
                                        <w:bottom w:val="none" w:sz="0" w:space="0" w:color="auto"/>
                                        <w:right w:val="none" w:sz="0" w:space="0" w:color="auto"/>
                                      </w:divBdr>
                                      <w:divsChild>
                                        <w:div w:id="775639224">
                                          <w:marLeft w:val="0"/>
                                          <w:marRight w:val="0"/>
                                          <w:marTop w:val="0"/>
                                          <w:marBottom w:val="0"/>
                                          <w:divBdr>
                                            <w:top w:val="none" w:sz="0" w:space="0" w:color="auto"/>
                                            <w:left w:val="none" w:sz="0" w:space="0" w:color="auto"/>
                                            <w:bottom w:val="none" w:sz="0" w:space="0" w:color="auto"/>
                                            <w:right w:val="none" w:sz="0" w:space="0" w:color="auto"/>
                                          </w:divBdr>
                                          <w:divsChild>
                                            <w:div w:id="1757824890">
                                              <w:marLeft w:val="0"/>
                                              <w:marRight w:val="0"/>
                                              <w:marTop w:val="0"/>
                                              <w:marBottom w:val="0"/>
                                              <w:divBdr>
                                                <w:top w:val="none" w:sz="0" w:space="0" w:color="auto"/>
                                                <w:left w:val="none" w:sz="0" w:space="0" w:color="auto"/>
                                                <w:bottom w:val="none" w:sz="0" w:space="0" w:color="auto"/>
                                                <w:right w:val="none" w:sz="0" w:space="0" w:color="auto"/>
                                              </w:divBdr>
                                              <w:divsChild>
                                                <w:div w:id="1209104445">
                                                  <w:marLeft w:val="0"/>
                                                  <w:marRight w:val="0"/>
                                                  <w:marTop w:val="0"/>
                                                  <w:marBottom w:val="0"/>
                                                  <w:divBdr>
                                                    <w:top w:val="none" w:sz="0" w:space="0" w:color="auto"/>
                                                    <w:left w:val="none" w:sz="0" w:space="0" w:color="auto"/>
                                                    <w:bottom w:val="none" w:sz="0" w:space="0" w:color="auto"/>
                                                    <w:right w:val="none" w:sz="0" w:space="0" w:color="auto"/>
                                                  </w:divBdr>
                                                  <w:divsChild>
                                                    <w:div w:id="388303352">
                                                      <w:marLeft w:val="0"/>
                                                      <w:marRight w:val="0"/>
                                                      <w:marTop w:val="0"/>
                                                      <w:marBottom w:val="0"/>
                                                      <w:divBdr>
                                                        <w:top w:val="none" w:sz="0" w:space="0" w:color="auto"/>
                                                        <w:left w:val="none" w:sz="0" w:space="0" w:color="auto"/>
                                                        <w:bottom w:val="none" w:sz="0" w:space="0" w:color="auto"/>
                                                        <w:right w:val="none" w:sz="0" w:space="0" w:color="auto"/>
                                                      </w:divBdr>
                                                      <w:divsChild>
                                                        <w:div w:id="61132844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2786345">
      <w:bodyDiv w:val="1"/>
      <w:marLeft w:val="0"/>
      <w:marRight w:val="0"/>
      <w:marTop w:val="0"/>
      <w:marBottom w:val="0"/>
      <w:divBdr>
        <w:top w:val="none" w:sz="0" w:space="0" w:color="auto"/>
        <w:left w:val="none" w:sz="0" w:space="0" w:color="auto"/>
        <w:bottom w:val="none" w:sz="0" w:space="0" w:color="auto"/>
        <w:right w:val="none" w:sz="0" w:space="0" w:color="auto"/>
      </w:divBdr>
    </w:div>
    <w:div w:id="327248361">
      <w:bodyDiv w:val="1"/>
      <w:marLeft w:val="0"/>
      <w:marRight w:val="0"/>
      <w:marTop w:val="0"/>
      <w:marBottom w:val="0"/>
      <w:divBdr>
        <w:top w:val="none" w:sz="0" w:space="0" w:color="auto"/>
        <w:left w:val="none" w:sz="0" w:space="0" w:color="auto"/>
        <w:bottom w:val="none" w:sz="0" w:space="0" w:color="auto"/>
        <w:right w:val="none" w:sz="0" w:space="0" w:color="auto"/>
      </w:divBdr>
    </w:div>
    <w:div w:id="491917441">
      <w:bodyDiv w:val="1"/>
      <w:marLeft w:val="0"/>
      <w:marRight w:val="0"/>
      <w:marTop w:val="0"/>
      <w:marBottom w:val="0"/>
      <w:divBdr>
        <w:top w:val="none" w:sz="0" w:space="0" w:color="auto"/>
        <w:left w:val="none" w:sz="0" w:space="0" w:color="auto"/>
        <w:bottom w:val="none" w:sz="0" w:space="0" w:color="auto"/>
        <w:right w:val="none" w:sz="0" w:space="0" w:color="auto"/>
      </w:divBdr>
    </w:div>
    <w:div w:id="497159652">
      <w:bodyDiv w:val="1"/>
      <w:marLeft w:val="0"/>
      <w:marRight w:val="0"/>
      <w:marTop w:val="0"/>
      <w:marBottom w:val="0"/>
      <w:divBdr>
        <w:top w:val="none" w:sz="0" w:space="0" w:color="auto"/>
        <w:left w:val="none" w:sz="0" w:space="0" w:color="auto"/>
        <w:bottom w:val="none" w:sz="0" w:space="0" w:color="auto"/>
        <w:right w:val="none" w:sz="0" w:space="0" w:color="auto"/>
      </w:divBdr>
    </w:div>
    <w:div w:id="664937733">
      <w:bodyDiv w:val="1"/>
      <w:marLeft w:val="0"/>
      <w:marRight w:val="0"/>
      <w:marTop w:val="0"/>
      <w:marBottom w:val="0"/>
      <w:divBdr>
        <w:top w:val="none" w:sz="0" w:space="0" w:color="auto"/>
        <w:left w:val="none" w:sz="0" w:space="0" w:color="auto"/>
        <w:bottom w:val="none" w:sz="0" w:space="0" w:color="auto"/>
        <w:right w:val="none" w:sz="0" w:space="0" w:color="auto"/>
      </w:divBdr>
    </w:div>
    <w:div w:id="873806973">
      <w:bodyDiv w:val="1"/>
      <w:marLeft w:val="0"/>
      <w:marRight w:val="0"/>
      <w:marTop w:val="0"/>
      <w:marBottom w:val="0"/>
      <w:divBdr>
        <w:top w:val="none" w:sz="0" w:space="0" w:color="auto"/>
        <w:left w:val="none" w:sz="0" w:space="0" w:color="auto"/>
        <w:bottom w:val="none" w:sz="0" w:space="0" w:color="auto"/>
        <w:right w:val="none" w:sz="0" w:space="0" w:color="auto"/>
      </w:divBdr>
    </w:div>
    <w:div w:id="918905188">
      <w:bodyDiv w:val="1"/>
      <w:marLeft w:val="0"/>
      <w:marRight w:val="0"/>
      <w:marTop w:val="0"/>
      <w:marBottom w:val="0"/>
      <w:divBdr>
        <w:top w:val="none" w:sz="0" w:space="0" w:color="auto"/>
        <w:left w:val="none" w:sz="0" w:space="0" w:color="auto"/>
        <w:bottom w:val="none" w:sz="0" w:space="0" w:color="auto"/>
        <w:right w:val="none" w:sz="0" w:space="0" w:color="auto"/>
      </w:divBdr>
      <w:divsChild>
        <w:div w:id="2086679981">
          <w:marLeft w:val="0"/>
          <w:marRight w:val="0"/>
          <w:marTop w:val="0"/>
          <w:marBottom w:val="0"/>
          <w:divBdr>
            <w:top w:val="none" w:sz="0" w:space="0" w:color="auto"/>
            <w:left w:val="none" w:sz="0" w:space="0" w:color="auto"/>
            <w:bottom w:val="none" w:sz="0" w:space="0" w:color="auto"/>
            <w:right w:val="none" w:sz="0" w:space="0" w:color="auto"/>
          </w:divBdr>
          <w:divsChild>
            <w:div w:id="2137216086">
              <w:marLeft w:val="0"/>
              <w:marRight w:val="0"/>
              <w:marTop w:val="0"/>
              <w:marBottom w:val="0"/>
              <w:divBdr>
                <w:top w:val="none" w:sz="0" w:space="0" w:color="auto"/>
                <w:left w:val="none" w:sz="0" w:space="0" w:color="auto"/>
                <w:bottom w:val="none" w:sz="0" w:space="0" w:color="auto"/>
                <w:right w:val="none" w:sz="0" w:space="0" w:color="auto"/>
              </w:divBdr>
              <w:divsChild>
                <w:div w:id="574976602">
                  <w:marLeft w:val="0"/>
                  <w:marRight w:val="0"/>
                  <w:marTop w:val="0"/>
                  <w:marBottom w:val="0"/>
                  <w:divBdr>
                    <w:top w:val="none" w:sz="0" w:space="0" w:color="auto"/>
                    <w:left w:val="none" w:sz="0" w:space="0" w:color="auto"/>
                    <w:bottom w:val="none" w:sz="0" w:space="0" w:color="auto"/>
                    <w:right w:val="none" w:sz="0" w:space="0" w:color="auto"/>
                  </w:divBdr>
                  <w:divsChild>
                    <w:div w:id="1020090081">
                      <w:marLeft w:val="2325"/>
                      <w:marRight w:val="0"/>
                      <w:marTop w:val="0"/>
                      <w:marBottom w:val="0"/>
                      <w:divBdr>
                        <w:top w:val="none" w:sz="0" w:space="0" w:color="auto"/>
                        <w:left w:val="none" w:sz="0" w:space="0" w:color="auto"/>
                        <w:bottom w:val="none" w:sz="0" w:space="0" w:color="auto"/>
                        <w:right w:val="none" w:sz="0" w:space="0" w:color="auto"/>
                      </w:divBdr>
                      <w:divsChild>
                        <w:div w:id="598216973">
                          <w:marLeft w:val="0"/>
                          <w:marRight w:val="0"/>
                          <w:marTop w:val="0"/>
                          <w:marBottom w:val="0"/>
                          <w:divBdr>
                            <w:top w:val="none" w:sz="0" w:space="0" w:color="auto"/>
                            <w:left w:val="none" w:sz="0" w:space="0" w:color="auto"/>
                            <w:bottom w:val="none" w:sz="0" w:space="0" w:color="auto"/>
                            <w:right w:val="none" w:sz="0" w:space="0" w:color="auto"/>
                          </w:divBdr>
                          <w:divsChild>
                            <w:div w:id="824320991">
                              <w:marLeft w:val="0"/>
                              <w:marRight w:val="0"/>
                              <w:marTop w:val="0"/>
                              <w:marBottom w:val="0"/>
                              <w:divBdr>
                                <w:top w:val="none" w:sz="0" w:space="0" w:color="auto"/>
                                <w:left w:val="none" w:sz="0" w:space="0" w:color="auto"/>
                                <w:bottom w:val="none" w:sz="0" w:space="0" w:color="auto"/>
                                <w:right w:val="none" w:sz="0" w:space="0" w:color="auto"/>
                              </w:divBdr>
                              <w:divsChild>
                                <w:div w:id="218369963">
                                  <w:marLeft w:val="0"/>
                                  <w:marRight w:val="0"/>
                                  <w:marTop w:val="0"/>
                                  <w:marBottom w:val="0"/>
                                  <w:divBdr>
                                    <w:top w:val="none" w:sz="0" w:space="0" w:color="auto"/>
                                    <w:left w:val="none" w:sz="0" w:space="0" w:color="auto"/>
                                    <w:bottom w:val="none" w:sz="0" w:space="0" w:color="auto"/>
                                    <w:right w:val="none" w:sz="0" w:space="0" w:color="auto"/>
                                  </w:divBdr>
                                  <w:divsChild>
                                    <w:div w:id="1143503924">
                                      <w:marLeft w:val="0"/>
                                      <w:marRight w:val="0"/>
                                      <w:marTop w:val="0"/>
                                      <w:marBottom w:val="0"/>
                                      <w:divBdr>
                                        <w:top w:val="none" w:sz="0" w:space="0" w:color="auto"/>
                                        <w:left w:val="none" w:sz="0" w:space="0" w:color="auto"/>
                                        <w:bottom w:val="none" w:sz="0" w:space="0" w:color="auto"/>
                                        <w:right w:val="none" w:sz="0" w:space="0" w:color="auto"/>
                                      </w:divBdr>
                                      <w:divsChild>
                                        <w:div w:id="985402350">
                                          <w:marLeft w:val="0"/>
                                          <w:marRight w:val="0"/>
                                          <w:marTop w:val="0"/>
                                          <w:marBottom w:val="0"/>
                                          <w:divBdr>
                                            <w:top w:val="none" w:sz="0" w:space="0" w:color="auto"/>
                                            <w:left w:val="none" w:sz="0" w:space="0" w:color="auto"/>
                                            <w:bottom w:val="none" w:sz="0" w:space="0" w:color="auto"/>
                                            <w:right w:val="none" w:sz="0" w:space="0" w:color="auto"/>
                                          </w:divBdr>
                                          <w:divsChild>
                                            <w:div w:id="938954856">
                                              <w:marLeft w:val="0"/>
                                              <w:marRight w:val="0"/>
                                              <w:marTop w:val="0"/>
                                              <w:marBottom w:val="0"/>
                                              <w:divBdr>
                                                <w:top w:val="none" w:sz="0" w:space="0" w:color="auto"/>
                                                <w:left w:val="none" w:sz="0" w:space="0" w:color="auto"/>
                                                <w:bottom w:val="none" w:sz="0" w:space="0" w:color="auto"/>
                                                <w:right w:val="none" w:sz="0" w:space="0" w:color="auto"/>
                                              </w:divBdr>
                                              <w:divsChild>
                                                <w:div w:id="983315684">
                                                  <w:marLeft w:val="0"/>
                                                  <w:marRight w:val="0"/>
                                                  <w:marTop w:val="0"/>
                                                  <w:marBottom w:val="0"/>
                                                  <w:divBdr>
                                                    <w:top w:val="none" w:sz="0" w:space="0" w:color="auto"/>
                                                    <w:left w:val="none" w:sz="0" w:space="0" w:color="auto"/>
                                                    <w:bottom w:val="none" w:sz="0" w:space="0" w:color="auto"/>
                                                    <w:right w:val="none" w:sz="0" w:space="0" w:color="auto"/>
                                                  </w:divBdr>
                                                  <w:divsChild>
                                                    <w:div w:id="927929342">
                                                      <w:marLeft w:val="0"/>
                                                      <w:marRight w:val="0"/>
                                                      <w:marTop w:val="0"/>
                                                      <w:marBottom w:val="0"/>
                                                      <w:divBdr>
                                                        <w:top w:val="none" w:sz="0" w:space="0" w:color="auto"/>
                                                        <w:left w:val="none" w:sz="0" w:space="0" w:color="auto"/>
                                                        <w:bottom w:val="none" w:sz="0" w:space="0" w:color="auto"/>
                                                        <w:right w:val="none" w:sz="0" w:space="0" w:color="auto"/>
                                                      </w:divBdr>
                                                      <w:divsChild>
                                                        <w:div w:id="11037023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379138">
      <w:bodyDiv w:val="1"/>
      <w:marLeft w:val="0"/>
      <w:marRight w:val="0"/>
      <w:marTop w:val="0"/>
      <w:marBottom w:val="0"/>
      <w:divBdr>
        <w:top w:val="none" w:sz="0" w:space="0" w:color="auto"/>
        <w:left w:val="none" w:sz="0" w:space="0" w:color="auto"/>
        <w:bottom w:val="none" w:sz="0" w:space="0" w:color="auto"/>
        <w:right w:val="none" w:sz="0" w:space="0" w:color="auto"/>
      </w:divBdr>
    </w:div>
    <w:div w:id="1871412729">
      <w:bodyDiv w:val="1"/>
      <w:marLeft w:val="0"/>
      <w:marRight w:val="0"/>
      <w:marTop w:val="0"/>
      <w:marBottom w:val="0"/>
      <w:divBdr>
        <w:top w:val="none" w:sz="0" w:space="0" w:color="auto"/>
        <w:left w:val="none" w:sz="0" w:space="0" w:color="auto"/>
        <w:bottom w:val="none" w:sz="0" w:space="0" w:color="auto"/>
        <w:right w:val="none" w:sz="0" w:space="0" w:color="auto"/>
      </w:divBdr>
    </w:div>
    <w:div w:id="208221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en.jones@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eB\Local%20Settings\Temporary%20Internet%20Files\OLK9B\Report%20Template%202010%20v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16FF406D2A6D429CCEE49803F20FDB" ma:contentTypeVersion="12" ma:contentTypeDescription="Create a new document." ma:contentTypeScope="" ma:versionID="ac3d5d744691cdbfbc6388b0df44b850">
  <xsd:schema xmlns:xsd="http://www.w3.org/2001/XMLSchema" xmlns:xs="http://www.w3.org/2001/XMLSchema" xmlns:p="http://schemas.microsoft.com/office/2006/metadata/properties" xmlns:ns2="1c8a0e75-f4bc-4eb4-8ed0-578eaea9e1ca" targetNamespace="http://schemas.microsoft.com/office/2006/metadata/properties" ma:root="true" ma:fieldsID="f3086d67889488eaa453d19755810d34" ns2:_="">
    <xsd:import namespace="1c8a0e75-f4bc-4eb4-8ed0-578eaea9e1ca"/>
    <xsd:element name="properties">
      <xsd:complexType>
        <xsd:sequence>
          <xsd:element name="documentManagement">
            <xsd:complexType>
              <xsd:all>
                <xsd:element ref="ns2:Document_x0020_Type"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Report</Document_x0020_Type>
    <TaxKeywordTaxHTField xmlns="1c8a0e75-f4bc-4eb4-8ed0-578eaea9e1ca">
      <Terms xmlns="http://schemas.microsoft.com/office/infopath/2007/PartnerControls">
        <TermInfo xmlns="http://schemas.microsoft.com/office/infopath/2007/PartnerControls">
          <TermName xmlns="http://schemas.microsoft.com/office/infopath/2007/PartnerControls">Subscription 2019-20</TermName>
          <TermId xmlns="http://schemas.microsoft.com/office/infopath/2007/PartnerControls">946f06d6-bcfb-4ca9-9081-088050bf9c0a</TermId>
        </TermInfo>
      </Terms>
    </TaxKeywordTaxHTField>
    <TaxCatchAll xmlns="1c8a0e75-f4bc-4eb4-8ed0-578eaea9e1ca">
      <Value>2111</Value>
    </TaxCatchAll>
  </documentManagement>
</p:properties>
</file>

<file path=customXml/itemProps1.xml><?xml version="1.0" encoding="utf-8"?>
<ds:datastoreItem xmlns:ds="http://schemas.openxmlformats.org/officeDocument/2006/customXml" ds:itemID="{073409B7-4B76-4231-A975-87D41336BD05}">
  <ds:schemaRefs>
    <ds:schemaRef ds:uri="http://schemas.microsoft.com/sharepoint/v3/contenttype/forms"/>
  </ds:schemaRefs>
</ds:datastoreItem>
</file>

<file path=customXml/itemProps2.xml><?xml version="1.0" encoding="utf-8"?>
<ds:datastoreItem xmlns:ds="http://schemas.openxmlformats.org/officeDocument/2006/customXml" ds:itemID="{C93A19B8-CF9A-4E70-AA8B-25791B284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A99EA-337F-4E61-B35D-AD64939F88F9}">
  <ds:schemaRefs>
    <ds:schemaRef ds:uri="http://schemas.microsoft.com/office/2006/metadata/longProperties"/>
  </ds:schemaRefs>
</ds:datastoreItem>
</file>

<file path=customXml/itemProps4.xml><?xml version="1.0" encoding="utf-8"?>
<ds:datastoreItem xmlns:ds="http://schemas.openxmlformats.org/officeDocument/2006/customXml" ds:itemID="{CE30FC96-7D07-4EA0-ADC8-B05B871D49FA}">
  <ds:schemaRefs>
    <ds:schemaRef ds:uri="1c8a0e75-f4bc-4eb4-8ed0-578eaea9e1ca"/>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Report Template 2010 v0 3</Template>
  <TotalTime>1</TotalTime>
  <Pages>5</Pages>
  <Words>1433</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Board templates</vt:lpstr>
    </vt:vector>
  </TitlesOfParts>
  <Company>Local Government Association</Company>
  <LinksUpToDate>false</LinksUpToDate>
  <CharactersWithSpaces>9343</CharactersWithSpaces>
  <SharedDoc>false</SharedDoc>
  <HLinks>
    <vt:vector size="6" baseType="variant">
      <vt:variant>
        <vt:i4>131118</vt:i4>
      </vt:variant>
      <vt:variant>
        <vt:i4>0</vt:i4>
      </vt:variant>
      <vt:variant>
        <vt:i4>0</vt:i4>
      </vt:variant>
      <vt:variant>
        <vt:i4>5</vt:i4>
      </vt:variant>
      <vt:variant>
        <vt:lpwstr>mailto:stephen.jones@local.gov.uk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subject/>
  <dc:creator>LouiseB</dc:creator>
  <cp:keywords>Subscription 2019-20</cp:keywords>
  <cp:lastModifiedBy>Paul Goodchild</cp:lastModifiedBy>
  <cp:revision>3</cp:revision>
  <cp:lastPrinted>2017-10-04T15:58:00Z</cp:lastPrinted>
  <dcterms:created xsi:type="dcterms:W3CDTF">2018-10-15T08:12:00Z</dcterms:created>
  <dcterms:modified xsi:type="dcterms:W3CDTF">2018-10-16T15:38:00Z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0x0101009016FF406D2A6D429CCEE49803F20FDB</vt:lpwstr>
  </property>
  <property fmtid="{D5CDD505-2E9C-101B-9397-08002B2CF9AE}" pid="13" name="TaxKeywordTaxHTField">
    <vt:lpwstr>Subscription 2016-17|02761728-921d-4f79-9eb5-940ca631f404</vt:lpwstr>
  </property>
  <property fmtid="{D5CDD505-2E9C-101B-9397-08002B2CF9AE}" pid="14" name="Document Type">
    <vt:lpwstr>Report</vt:lpwstr>
  </property>
  <property fmtid="{D5CDD505-2E9C-101B-9397-08002B2CF9AE}" pid="15" name="l3ee1b4ecc024e27ad7412a3b97a748a">
    <vt:lpwstr/>
  </property>
  <property fmtid="{D5CDD505-2E9C-101B-9397-08002B2CF9AE}" pid="16" name="TaxCatchAll">
    <vt:lpwstr>1221;#Subscription 2016-17</vt:lpwstr>
  </property>
  <property fmtid="{D5CDD505-2E9C-101B-9397-08002B2CF9AE}" pid="17" name="TaxKeyword">
    <vt:lpwstr>2111;#Subscription 2019-20|946f06d6-bcfb-4ca9-9081-088050bf9c0a</vt:lpwstr>
  </property>
  <property fmtid="{D5CDD505-2E9C-101B-9397-08002B2CF9AE}" pid="18" name="Subje">
    <vt:lpwstr/>
  </property>
  <property fmtid="{D5CDD505-2E9C-101B-9397-08002B2CF9AE}" pid="19" name="Keyword/Tag">
    <vt:lpwstr/>
  </property>
  <property fmtid="{D5CDD505-2E9C-101B-9397-08002B2CF9AE}" pid="20" name="Meeting date">
    <vt:lpwstr/>
  </property>
  <property fmtid="{D5CDD505-2E9C-101B-9397-08002B2CF9AE}" pid="21" name="Work Area">
    <vt:lpwstr/>
  </property>
</Properties>
</file>